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7A9" w:rsidRPr="00D457A9" w:rsidRDefault="00D457A9" w:rsidP="00D457A9">
      <w:pPr>
        <w:keepNext/>
        <w:keepLines/>
        <w:spacing w:after="120" w:line="360" w:lineRule="auto"/>
        <w:ind w:left="432" w:hanging="432"/>
        <w:jc w:val="both"/>
        <w:outlineLvl w:val="0"/>
        <w:rPr>
          <w:rFonts w:ascii="Times New Roman" w:eastAsia="Times New Roman" w:hAnsi="Times New Roman" w:cs="Times New Roman"/>
          <w:b/>
          <w:bCs/>
          <w:sz w:val="32"/>
          <w:szCs w:val="28"/>
        </w:rPr>
      </w:pPr>
      <w:bookmarkStart w:id="0" w:name="_Toc518114586"/>
      <w:r w:rsidRPr="00D457A9">
        <w:rPr>
          <w:rFonts w:ascii="Times New Roman" w:eastAsia="Times New Roman" w:hAnsi="Times New Roman" w:cs="Times New Roman"/>
          <w:b/>
          <w:bCs/>
          <w:sz w:val="32"/>
          <w:szCs w:val="28"/>
        </w:rPr>
        <w:t>Lebenswirklichkeit ermittelt durch fokussierte Interviews</w:t>
      </w:r>
      <w:bookmarkEnd w:id="0"/>
    </w:p>
    <w:p w:rsidR="00D457A9" w:rsidRPr="00D457A9" w:rsidRDefault="00D457A9" w:rsidP="00D457A9">
      <w:pPr>
        <w:spacing w:after="200" w:line="360" w:lineRule="auto"/>
        <w:jc w:val="both"/>
        <w:rPr>
          <w:rFonts w:ascii="Times New Roman" w:eastAsia="Calibri" w:hAnsi="Times New Roman" w:cs="Times New Roman"/>
          <w:sz w:val="24"/>
        </w:rPr>
      </w:pPr>
      <w:r w:rsidRPr="00D457A9">
        <w:rPr>
          <w:rFonts w:ascii="Times New Roman" w:eastAsia="Calibri" w:hAnsi="Times New Roman" w:cs="Times New Roman"/>
          <w:sz w:val="24"/>
        </w:rPr>
        <w:t xml:space="preserve">Nicht zuletzt auf Grund des Interesses an der argumentativen Entfaltung der Positionierungen innerhalb der Sterbehilfedebatte wurde für diese Arbeit eine empirische Untersuchung herangezogen. Hierbei erwies sich die Forschungsmethode des fokussierten Interviews als besonders geeignet. In diesem Kapitel wird diese Methode zunächst nebst ihren Vor- und Nachteilen dargelegt. Nach der Vorstellung des Erhebungsverfahrens und der Konzeption des Leitfadens folgt eine kurze Einführung in die Transkription und das Analysesystem, ehe die Analyse und Interpretation der qualitativen Interviews erfolgen. </w:t>
      </w:r>
    </w:p>
    <w:p w:rsidR="00D457A9" w:rsidRPr="00D457A9" w:rsidRDefault="00D457A9" w:rsidP="00D457A9">
      <w:pPr>
        <w:keepNext/>
        <w:keepLines/>
        <w:numPr>
          <w:ilvl w:val="1"/>
          <w:numId w:val="0"/>
        </w:numPr>
        <w:spacing w:after="120" w:line="360" w:lineRule="auto"/>
        <w:ind w:left="576" w:hanging="576"/>
        <w:jc w:val="both"/>
        <w:outlineLvl w:val="1"/>
        <w:rPr>
          <w:rFonts w:ascii="Times New Roman" w:eastAsia="Times New Roman" w:hAnsi="Times New Roman" w:cs="Times New Roman"/>
          <w:b/>
          <w:bCs/>
          <w:sz w:val="28"/>
          <w:szCs w:val="26"/>
        </w:rPr>
      </w:pPr>
      <w:bookmarkStart w:id="1" w:name="_Toc518114587"/>
      <w:r w:rsidRPr="00D457A9">
        <w:rPr>
          <w:rFonts w:ascii="Times New Roman" w:eastAsia="Times New Roman" w:hAnsi="Times New Roman" w:cs="Times New Roman"/>
          <w:b/>
          <w:bCs/>
          <w:sz w:val="28"/>
          <w:szCs w:val="26"/>
        </w:rPr>
        <w:t>Vorstellung der Methode fokussierte Interviews</w:t>
      </w:r>
      <w:bookmarkEnd w:id="1"/>
    </w:p>
    <w:p w:rsidR="00D457A9" w:rsidRPr="00D457A9" w:rsidRDefault="00D457A9" w:rsidP="00D457A9">
      <w:pPr>
        <w:spacing w:after="0" w:line="360" w:lineRule="auto"/>
        <w:jc w:val="both"/>
        <w:rPr>
          <w:rFonts w:ascii="Times New Roman" w:eastAsia="Calibri" w:hAnsi="Times New Roman" w:cs="Times New Roman"/>
          <w:sz w:val="24"/>
          <w:szCs w:val="24"/>
        </w:rPr>
      </w:pPr>
      <w:r w:rsidRPr="00D457A9">
        <w:rPr>
          <w:rFonts w:ascii="Times New Roman" w:eastAsia="Calibri" w:hAnsi="Times New Roman" w:cs="Times New Roman"/>
          <w:sz w:val="24"/>
          <w:szCs w:val="24"/>
        </w:rPr>
        <w:t>Die Methoden der empirischen Sozialforschung lassen sich auf einem Kontinuum zwischen quantitativen und qualitativen Methoden verorten. Auf diesem Kontinuum überschneiden sich die Forschungsansätze zwar und sind überdies kombinierbar,</w:t>
      </w:r>
      <w:r w:rsidRPr="00D457A9">
        <w:rPr>
          <w:rFonts w:ascii="Times New Roman" w:eastAsia="Calibri" w:hAnsi="Times New Roman" w:cs="Times New Roman"/>
          <w:sz w:val="24"/>
          <w:szCs w:val="24"/>
          <w:vertAlign w:val="superscript"/>
        </w:rPr>
        <w:footnoteReference w:id="1"/>
      </w:r>
      <w:r w:rsidRPr="00D457A9">
        <w:rPr>
          <w:rFonts w:ascii="Times New Roman" w:eastAsia="Calibri" w:hAnsi="Times New Roman" w:cs="Times New Roman"/>
          <w:sz w:val="24"/>
          <w:szCs w:val="24"/>
        </w:rPr>
        <w:t xml:space="preserve"> sie lassen sich jedoch auch klar voneinander abgrenzen: So streben Forscher über quantitative Methoden beispielsweise nach einem Höchstmaß an Objektivität.</w:t>
      </w:r>
      <w:r w:rsidRPr="00D457A9">
        <w:rPr>
          <w:rFonts w:ascii="Times New Roman" w:eastAsia="Calibri" w:hAnsi="Times New Roman" w:cs="Times New Roman"/>
          <w:sz w:val="24"/>
          <w:szCs w:val="24"/>
          <w:vertAlign w:val="superscript"/>
        </w:rPr>
        <w:footnoteReference w:id="2"/>
      </w:r>
      <w:r w:rsidRPr="00D457A9">
        <w:rPr>
          <w:rFonts w:ascii="Times New Roman" w:eastAsia="Calibri" w:hAnsi="Times New Roman" w:cs="Times New Roman"/>
          <w:sz w:val="24"/>
          <w:szCs w:val="24"/>
        </w:rPr>
        <w:t xml:space="preserve"> Die damit einhergehenden, standardisierten Erhebungsverfahren der quantitativen Forschung sind dahingehend zu kritisieren, dass sie die themenbezogene, soziale Wirklichkeit nicht zwangsläufig in ihrer Vielschichtigkeit abbilden.</w:t>
      </w:r>
      <w:r w:rsidRPr="00D457A9">
        <w:rPr>
          <w:rFonts w:ascii="Times New Roman" w:eastAsia="Calibri" w:hAnsi="Times New Roman" w:cs="Times New Roman"/>
          <w:sz w:val="24"/>
          <w:szCs w:val="24"/>
          <w:vertAlign w:val="superscript"/>
        </w:rPr>
        <w:footnoteReference w:id="3"/>
      </w:r>
      <w:r w:rsidRPr="00D457A9">
        <w:rPr>
          <w:rFonts w:ascii="Times New Roman" w:eastAsia="Calibri" w:hAnsi="Times New Roman" w:cs="Times New Roman"/>
          <w:sz w:val="24"/>
          <w:szCs w:val="24"/>
        </w:rPr>
        <w:t xml:space="preserve"> Dabei können wegen der restringierten Erfahrung unter anderem Denkmuster, Einstellungen oder Handlungsgründe der Untersuchungssubjekte verloren gehen.</w:t>
      </w:r>
      <w:r w:rsidRPr="00D457A9">
        <w:rPr>
          <w:rFonts w:ascii="Times New Roman" w:eastAsia="Calibri" w:hAnsi="Times New Roman" w:cs="Times New Roman"/>
          <w:sz w:val="24"/>
          <w:szCs w:val="24"/>
          <w:vertAlign w:val="superscript"/>
        </w:rPr>
        <w:footnoteReference w:id="4"/>
      </w:r>
      <w:r w:rsidRPr="00D457A9">
        <w:rPr>
          <w:rFonts w:ascii="Times New Roman" w:eastAsia="Calibri" w:hAnsi="Times New Roman" w:cs="Times New Roman"/>
          <w:sz w:val="24"/>
          <w:szCs w:val="24"/>
        </w:rPr>
        <w:t xml:space="preserve"> </w:t>
      </w:r>
    </w:p>
    <w:p w:rsidR="00D457A9" w:rsidRPr="00D457A9" w:rsidRDefault="00D457A9" w:rsidP="00D457A9">
      <w:pPr>
        <w:spacing w:after="0" w:line="360" w:lineRule="auto"/>
        <w:jc w:val="both"/>
        <w:rPr>
          <w:rFonts w:ascii="Times New Roman" w:eastAsia="Calibri" w:hAnsi="Times New Roman" w:cs="Times New Roman"/>
          <w:sz w:val="24"/>
          <w:szCs w:val="24"/>
        </w:rPr>
      </w:pPr>
      <w:r w:rsidRPr="00D457A9">
        <w:rPr>
          <w:rFonts w:ascii="Times New Roman" w:eastAsia="Calibri" w:hAnsi="Times New Roman" w:cs="Times New Roman"/>
          <w:sz w:val="24"/>
          <w:szCs w:val="24"/>
        </w:rPr>
        <w:t xml:space="preserve">Gerade aufgrund der Vielfalt möglicher, individueller Positionierungen in der Sterbehilfedebatte interessieren diese Kategorien. Dementsprechend </w:t>
      </w:r>
      <w:proofErr w:type="gramStart"/>
      <w:r w:rsidRPr="00D457A9">
        <w:rPr>
          <w:rFonts w:ascii="Times New Roman" w:eastAsia="Calibri" w:hAnsi="Times New Roman" w:cs="Times New Roman"/>
          <w:sz w:val="24"/>
          <w:szCs w:val="24"/>
        </w:rPr>
        <w:t>erscheinen</w:t>
      </w:r>
      <w:proofErr w:type="gramEnd"/>
      <w:r w:rsidRPr="00D457A9">
        <w:rPr>
          <w:rFonts w:ascii="Times New Roman" w:eastAsia="Calibri" w:hAnsi="Times New Roman" w:cs="Times New Roman"/>
          <w:sz w:val="24"/>
          <w:szCs w:val="24"/>
        </w:rPr>
        <w:t xml:space="preserve"> das Themenfeld der Sterbehilfe und die hiesige Fragestellung für quantitative Verfahren als zu komplex. Stattdessen empfiehlt sich eine qualitative Forschungsmethode, denn derlei Methoden zeichnen sich durch die Offenheit des Forschenden gegenüber dem Thema und den Untersuchungsobjekten aus. Erst diese Offenheit ermöglicht eine ergebnisoffene, </w:t>
      </w:r>
      <w:proofErr w:type="spellStart"/>
      <w:r w:rsidRPr="00D457A9">
        <w:rPr>
          <w:rFonts w:ascii="Times New Roman" w:eastAsia="Calibri" w:hAnsi="Times New Roman" w:cs="Times New Roman"/>
          <w:sz w:val="24"/>
          <w:szCs w:val="24"/>
        </w:rPr>
        <w:t>verstehensorientierte</w:t>
      </w:r>
      <w:proofErr w:type="spellEnd"/>
      <w:r w:rsidRPr="00D457A9">
        <w:rPr>
          <w:rFonts w:ascii="Times New Roman" w:eastAsia="Calibri" w:hAnsi="Times New Roman" w:cs="Times New Roman"/>
          <w:sz w:val="24"/>
          <w:szCs w:val="24"/>
        </w:rPr>
        <w:t xml:space="preserve"> Analyse zu den Phänomenen des gewählten Forschungsthemas</w:t>
      </w:r>
      <w:r w:rsidRPr="00D457A9">
        <w:rPr>
          <w:rFonts w:ascii="Times New Roman" w:eastAsia="Calibri" w:hAnsi="Times New Roman" w:cs="Times New Roman"/>
          <w:sz w:val="24"/>
          <w:szCs w:val="24"/>
        </w:rPr>
        <w:fldChar w:fldCharType="begin"/>
      </w:r>
      <w:r w:rsidRPr="00D457A9">
        <w:rPr>
          <w:rFonts w:ascii="Times New Roman" w:eastAsia="Calibri" w:hAnsi="Times New Roman" w:cs="Times New Roman"/>
          <w:sz w:val="24"/>
          <w:szCs w:val="24"/>
        </w:rPr>
        <w:instrText>ADDIN CITAVI.PLACEHOLDER 04de1989-9c04-4cbf-8556-e7d88bbc0f96 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2Z2wuIETDvHJyIDIwMTYsIFMuIDEyNSkuPC9UZXh0Pg0KICAgIDwvVGV4dFVuaXQ+DQogIDwvVGV4dFVuaXRzPg0KPC9QbGFjZWhvbGRlcj4=</w:instrText>
      </w:r>
      <w:r w:rsidRPr="00D457A9">
        <w:rPr>
          <w:rFonts w:ascii="Times New Roman" w:eastAsia="Calibri" w:hAnsi="Times New Roman" w:cs="Times New Roman"/>
          <w:sz w:val="24"/>
          <w:szCs w:val="24"/>
        </w:rPr>
        <w:fldChar w:fldCharType="separate"/>
      </w:r>
      <w:bookmarkStart w:id="2" w:name="_CTVP00104de19899c044cbf8556e7d88bbc0f96"/>
      <w:r w:rsidRPr="00D457A9">
        <w:rPr>
          <w:rFonts w:ascii="Times New Roman" w:eastAsia="Calibri" w:hAnsi="Times New Roman" w:cs="Times New Roman"/>
          <w:sz w:val="24"/>
          <w:szCs w:val="24"/>
        </w:rPr>
        <w:t>,</w:t>
      </w:r>
      <w:bookmarkEnd w:id="2"/>
      <w:r w:rsidRPr="00D457A9">
        <w:rPr>
          <w:rFonts w:ascii="Times New Roman" w:eastAsia="Calibri" w:hAnsi="Times New Roman" w:cs="Times New Roman"/>
          <w:sz w:val="24"/>
          <w:szCs w:val="24"/>
        </w:rPr>
        <w:fldChar w:fldCharType="end"/>
      </w:r>
      <w:r w:rsidRPr="00D457A9">
        <w:rPr>
          <w:rFonts w:ascii="Times New Roman" w:eastAsia="Calibri" w:hAnsi="Times New Roman" w:cs="Times New Roman"/>
          <w:sz w:val="24"/>
          <w:szCs w:val="24"/>
          <w:vertAlign w:val="superscript"/>
        </w:rPr>
        <w:footnoteReference w:id="5"/>
      </w:r>
      <w:r w:rsidRPr="00D457A9">
        <w:rPr>
          <w:rFonts w:ascii="Times New Roman" w:eastAsia="Calibri" w:hAnsi="Times New Roman" w:cs="Times New Roman"/>
          <w:sz w:val="24"/>
          <w:szCs w:val="24"/>
        </w:rPr>
        <w:t xml:space="preserve"> weil die Untersuchungssubjekte eigenständig entscheiden können, wie sie ihre Aussagen gestalten (vgl. </w:t>
      </w:r>
      <w:r w:rsidRPr="00D457A9">
        <w:rPr>
          <w:rFonts w:ascii="Times New Roman" w:eastAsia="Calibri" w:hAnsi="Times New Roman" w:cs="Times New Roman"/>
          <w:sz w:val="24"/>
          <w:szCs w:val="24"/>
        </w:rPr>
        <w:lastRenderedPageBreak/>
        <w:t>Mayring 2016, 66 ff.). So werden die Perspektiven der Untersuchungssubjekte auf das Forschungsthema in Form von Kausalmechanismen ersichtlich.</w:t>
      </w:r>
      <w:r w:rsidRPr="00D457A9">
        <w:rPr>
          <w:rFonts w:ascii="Times New Roman" w:eastAsia="Calibri" w:hAnsi="Times New Roman" w:cs="Times New Roman"/>
          <w:sz w:val="24"/>
          <w:szCs w:val="24"/>
          <w:vertAlign w:val="superscript"/>
        </w:rPr>
        <w:footnoteReference w:id="6"/>
      </w:r>
      <w:r w:rsidRPr="00D457A9">
        <w:rPr>
          <w:rFonts w:ascii="Times New Roman" w:eastAsia="Calibri" w:hAnsi="Times New Roman" w:cs="Times New Roman"/>
          <w:sz w:val="24"/>
          <w:szCs w:val="24"/>
        </w:rPr>
        <w:t xml:space="preserve">  </w:t>
      </w:r>
    </w:p>
    <w:p w:rsidR="00D457A9" w:rsidRPr="00D457A9" w:rsidRDefault="00D457A9" w:rsidP="00D457A9">
      <w:pPr>
        <w:spacing w:after="200" w:line="360" w:lineRule="auto"/>
        <w:jc w:val="both"/>
        <w:rPr>
          <w:rFonts w:ascii="Times New Roman" w:eastAsia="Calibri" w:hAnsi="Times New Roman" w:cs="Times New Roman"/>
          <w:color w:val="FF0000"/>
          <w:sz w:val="24"/>
          <w:szCs w:val="24"/>
        </w:rPr>
      </w:pPr>
      <w:r w:rsidRPr="00D457A9">
        <w:rPr>
          <w:rFonts w:ascii="Times New Roman" w:eastAsia="Calibri" w:hAnsi="Times New Roman" w:cs="Times New Roman"/>
          <w:sz w:val="24"/>
          <w:szCs w:val="24"/>
        </w:rPr>
        <w:t>In der groben Unterscheidung der qualitativen Forschung in Beobachtung</w:t>
      </w:r>
      <w:r w:rsidRPr="00D457A9">
        <w:rPr>
          <w:rFonts w:ascii="Times New Roman" w:eastAsia="Calibri" w:hAnsi="Times New Roman" w:cs="Times New Roman"/>
          <w:sz w:val="24"/>
          <w:szCs w:val="24"/>
          <w:vertAlign w:val="superscript"/>
        </w:rPr>
        <w:footnoteReference w:id="7"/>
      </w:r>
      <w:r w:rsidRPr="00D457A9">
        <w:rPr>
          <w:rFonts w:ascii="Times New Roman" w:eastAsia="Calibri" w:hAnsi="Times New Roman" w:cs="Times New Roman"/>
          <w:sz w:val="24"/>
          <w:szCs w:val="24"/>
        </w:rPr>
        <w:t xml:space="preserve"> und Befragung</w:t>
      </w:r>
      <w:r w:rsidRPr="00D457A9">
        <w:rPr>
          <w:rFonts w:ascii="Times New Roman" w:eastAsia="Calibri" w:hAnsi="Times New Roman" w:cs="Times New Roman"/>
          <w:sz w:val="24"/>
          <w:szCs w:val="24"/>
          <w:vertAlign w:val="superscript"/>
        </w:rPr>
        <w:footnoteReference w:id="8"/>
      </w:r>
      <w:r w:rsidRPr="00D457A9">
        <w:rPr>
          <w:rFonts w:ascii="Times New Roman" w:eastAsia="Calibri" w:hAnsi="Times New Roman" w:cs="Times New Roman"/>
          <w:sz w:val="24"/>
          <w:szCs w:val="24"/>
        </w:rPr>
        <w:t xml:space="preserve"> ist wiederum die Befragung zu präferieren, da sich die Einstellungen und </w:t>
      </w:r>
      <w:proofErr w:type="spellStart"/>
      <w:r w:rsidRPr="00D457A9">
        <w:rPr>
          <w:rFonts w:ascii="Times New Roman" w:eastAsia="Calibri" w:hAnsi="Times New Roman" w:cs="Times New Roman"/>
          <w:sz w:val="24"/>
          <w:szCs w:val="24"/>
        </w:rPr>
        <w:t>Erklärmechanismen</w:t>
      </w:r>
      <w:proofErr w:type="spellEnd"/>
      <w:r w:rsidRPr="00D457A9">
        <w:rPr>
          <w:rFonts w:ascii="Times New Roman" w:eastAsia="Calibri" w:hAnsi="Times New Roman" w:cs="Times New Roman"/>
          <w:sz w:val="24"/>
          <w:szCs w:val="24"/>
        </w:rPr>
        <w:t xml:space="preserve"> in Bezug auf die Sterbehilfe bei einer Beobachtung nur unter enorm hohem zeitlichem Aufwand erschließen ließen. Mithilfe einer Befragung lassen sich die Einstellungen zur Sterbehilfe dementgegen effizient analysieren und interpretieren.</w:t>
      </w:r>
      <w:r w:rsidRPr="00D457A9">
        <w:rPr>
          <w:rFonts w:ascii="Times New Roman" w:eastAsia="Calibri" w:hAnsi="Times New Roman" w:cs="Times New Roman"/>
          <w:sz w:val="24"/>
          <w:szCs w:val="24"/>
          <w:vertAlign w:val="superscript"/>
        </w:rPr>
        <w:footnoteReference w:id="9"/>
      </w:r>
      <w:r w:rsidRPr="00D457A9">
        <w:rPr>
          <w:rFonts w:ascii="Times New Roman" w:eastAsia="Calibri" w:hAnsi="Times New Roman" w:cs="Times New Roman"/>
          <w:sz w:val="24"/>
          <w:szCs w:val="24"/>
        </w:rPr>
        <w:t xml:space="preserve"> </w:t>
      </w:r>
    </w:p>
    <w:p w:rsidR="00D457A9" w:rsidRPr="00D457A9" w:rsidRDefault="00D457A9" w:rsidP="00D457A9">
      <w:pPr>
        <w:spacing w:after="0" w:line="360" w:lineRule="auto"/>
        <w:jc w:val="both"/>
        <w:rPr>
          <w:rFonts w:ascii="Times New Roman" w:eastAsia="Calibri" w:hAnsi="Times New Roman" w:cs="Times New Roman"/>
          <w:sz w:val="24"/>
          <w:szCs w:val="24"/>
        </w:rPr>
      </w:pPr>
      <w:r w:rsidRPr="00D457A9">
        <w:rPr>
          <w:rFonts w:ascii="Times New Roman" w:eastAsia="Calibri" w:hAnsi="Times New Roman" w:cs="Times New Roman"/>
          <w:sz w:val="24"/>
          <w:szCs w:val="24"/>
        </w:rPr>
        <w:t>Es kommt zur Beantwortung der Fragestellung dieser Arbeit folglich lediglich eine zuvorderst qualitative, erfragende Methode in Betracht.</w:t>
      </w:r>
    </w:p>
    <w:p w:rsidR="00D457A9" w:rsidRPr="00D457A9" w:rsidRDefault="00D457A9" w:rsidP="00D457A9">
      <w:pPr>
        <w:spacing w:after="200" w:line="360" w:lineRule="auto"/>
        <w:jc w:val="both"/>
        <w:rPr>
          <w:rFonts w:ascii="Times New Roman" w:eastAsia="Calibri" w:hAnsi="Times New Roman" w:cs="Times New Roman"/>
          <w:sz w:val="24"/>
          <w:szCs w:val="24"/>
        </w:rPr>
      </w:pPr>
      <w:r w:rsidRPr="00D457A9">
        <w:rPr>
          <w:rFonts w:ascii="Times New Roman" w:eastAsia="Calibri" w:hAnsi="Times New Roman" w:cs="Times New Roman"/>
          <w:sz w:val="24"/>
          <w:szCs w:val="24"/>
        </w:rPr>
        <w:t xml:space="preserve">Hier bietet sich in der Unterscheidung qualitativer Befragungen nach </w:t>
      </w:r>
      <w:r w:rsidRPr="00D457A9">
        <w:rPr>
          <w:rFonts w:ascii="Times New Roman" w:eastAsia="Calibri" w:hAnsi="Times New Roman" w:cs="Times New Roman"/>
          <w:smallCaps/>
          <w:sz w:val="24"/>
          <w:szCs w:val="24"/>
        </w:rPr>
        <w:t>Lamnek &amp; Krell</w:t>
      </w:r>
      <w:r w:rsidRPr="00D457A9">
        <w:rPr>
          <w:rFonts w:ascii="Times New Roman" w:eastAsia="Calibri" w:hAnsi="Times New Roman" w:cs="Times New Roman"/>
          <w:sz w:val="24"/>
          <w:szCs w:val="24"/>
        </w:rPr>
        <w:t xml:space="preserve"> das fokussierte Interview an. Dieses orientiert sich an einem Leitfaden und baut auf Forschungshypothesen auf.</w:t>
      </w:r>
      <w:r w:rsidRPr="00D457A9">
        <w:rPr>
          <w:rFonts w:ascii="Times New Roman" w:eastAsia="Calibri" w:hAnsi="Times New Roman" w:cs="Times New Roman"/>
          <w:sz w:val="24"/>
          <w:szCs w:val="24"/>
          <w:vertAlign w:val="superscript"/>
        </w:rPr>
        <w:footnoteReference w:id="10"/>
      </w:r>
      <w:r w:rsidRPr="00D457A9">
        <w:rPr>
          <w:rFonts w:ascii="Times New Roman" w:eastAsia="Calibri" w:hAnsi="Times New Roman" w:cs="Times New Roman"/>
          <w:sz w:val="24"/>
          <w:szCs w:val="24"/>
        </w:rPr>
        <w:t xml:space="preserve"> Im hiesigen Falle ergeben sich diese Hypothesen aus den konzeptionellen Grundlagen zur Sterbehilfedebatte. Mehrere Untersuchungsgruppen über eine halbstrukturierte Leitfadenbefragung wie das fokussierte Interview mit diesen Hypothesen zu konfrontieren, erhöht die Vergleichbarkeit der Antworten und damit auch der Denkmuster erheblich.</w:t>
      </w:r>
      <w:r w:rsidRPr="00D457A9">
        <w:rPr>
          <w:rFonts w:ascii="Times New Roman" w:eastAsia="Calibri" w:hAnsi="Times New Roman" w:cs="Times New Roman"/>
          <w:sz w:val="24"/>
          <w:szCs w:val="24"/>
          <w:vertAlign w:val="superscript"/>
        </w:rPr>
        <w:footnoteReference w:id="11"/>
      </w:r>
      <w:r w:rsidRPr="00D457A9">
        <w:rPr>
          <w:rFonts w:ascii="Times New Roman" w:eastAsia="Calibri" w:hAnsi="Times New Roman" w:cs="Times New Roman"/>
          <w:sz w:val="24"/>
          <w:szCs w:val="24"/>
        </w:rPr>
        <w:t xml:space="preserve"> Folgerichtig wird die Fragestellung der vorliegenden Arbeit mit einem fokussierten, leitfadengestützten Interview adressiert.</w:t>
      </w:r>
      <w:r w:rsidRPr="00D457A9">
        <w:rPr>
          <w:rFonts w:ascii="Times New Roman" w:eastAsia="Calibri" w:hAnsi="Times New Roman" w:cs="Times New Roman"/>
          <w:sz w:val="24"/>
          <w:szCs w:val="24"/>
          <w:vertAlign w:val="superscript"/>
        </w:rPr>
        <w:footnoteReference w:id="12"/>
      </w:r>
      <w:r w:rsidRPr="00D457A9">
        <w:rPr>
          <w:rFonts w:ascii="Times New Roman" w:eastAsia="Calibri" w:hAnsi="Times New Roman" w:cs="Times New Roman"/>
          <w:sz w:val="24"/>
          <w:szCs w:val="24"/>
        </w:rPr>
        <w:t xml:space="preserve"> </w:t>
      </w:r>
    </w:p>
    <w:p w:rsidR="00D457A9" w:rsidRPr="00D457A9" w:rsidRDefault="00D457A9" w:rsidP="00D457A9">
      <w:pPr>
        <w:keepNext/>
        <w:keepLines/>
        <w:numPr>
          <w:ilvl w:val="1"/>
          <w:numId w:val="0"/>
        </w:numPr>
        <w:spacing w:after="120" w:line="360" w:lineRule="auto"/>
        <w:ind w:left="576" w:hanging="576"/>
        <w:jc w:val="both"/>
        <w:outlineLvl w:val="1"/>
        <w:rPr>
          <w:rFonts w:ascii="Times New Roman" w:eastAsia="Times New Roman" w:hAnsi="Times New Roman" w:cs="Times New Roman"/>
          <w:b/>
          <w:bCs/>
          <w:sz w:val="28"/>
          <w:szCs w:val="26"/>
        </w:rPr>
      </w:pPr>
      <w:bookmarkStart w:id="3" w:name="_Toc518114588"/>
      <w:r w:rsidRPr="00D457A9">
        <w:rPr>
          <w:rFonts w:ascii="Times New Roman" w:eastAsia="Times New Roman" w:hAnsi="Times New Roman" w:cs="Times New Roman"/>
          <w:b/>
          <w:bCs/>
          <w:sz w:val="28"/>
          <w:szCs w:val="26"/>
        </w:rPr>
        <w:t>Erhebungsverfahren</w:t>
      </w:r>
      <w:bookmarkEnd w:id="3"/>
    </w:p>
    <w:p w:rsidR="00D457A9" w:rsidRPr="00D457A9" w:rsidRDefault="00D457A9" w:rsidP="00D457A9">
      <w:pPr>
        <w:spacing w:after="0" w:line="360" w:lineRule="auto"/>
        <w:jc w:val="both"/>
        <w:rPr>
          <w:rFonts w:ascii="Times New Roman" w:eastAsia="Calibri" w:hAnsi="Times New Roman" w:cs="Times New Roman"/>
          <w:sz w:val="24"/>
          <w:szCs w:val="24"/>
        </w:rPr>
      </w:pPr>
      <w:r w:rsidRPr="00D457A9">
        <w:rPr>
          <w:rFonts w:ascii="Times New Roman" w:eastAsia="Calibri" w:hAnsi="Times New Roman" w:cs="Times New Roman"/>
          <w:sz w:val="24"/>
          <w:szCs w:val="24"/>
        </w:rPr>
        <w:t xml:space="preserve">Die geführten fokussierten, leitfadengestützten Interviews zielten darauf ab, die Einstellungen und die damit zusammenhängenden Motive unterschiedlicher Untersuchungsgruppen in Bezug auf das Thema Sterbehilfe zu ermitteln und diese miteinander zu vergleichen. Dabei wurden mit Klinikseelsorgern, Gemeindepfarrern und Pfarramtsstudierenden Untersuchungsgruppen mit explizitem, christlichem Hintergrund ausgewählt. Weitere interessante Gruppen im Kontext der Sterbehilfe wie beispielsweise Juristen und Ärzte konnten wegen des Umfangs dieser Arbeit nicht berücksichtigt werden. Von jeder der genannten drei Untersuchungsgruppen wurden fünf </w:t>
      </w:r>
      <w:r w:rsidRPr="00D457A9">
        <w:rPr>
          <w:rFonts w:ascii="Times New Roman" w:eastAsia="Calibri" w:hAnsi="Times New Roman" w:cs="Times New Roman"/>
          <w:sz w:val="24"/>
          <w:szCs w:val="24"/>
        </w:rPr>
        <w:lastRenderedPageBreak/>
        <w:t xml:space="preserve">Personen interviewt. Der Kontakt zu den Interviewpartnern wurde per Mail hergestellt und verstetigt, die Befragungen erfolgten zu Beginn des Jahres 2018. Die Dauer der Interviews variierte mit von 19min bis 1h18min recht stark. </w:t>
      </w:r>
    </w:p>
    <w:p w:rsidR="00D457A9" w:rsidRPr="00D457A9" w:rsidRDefault="00D457A9" w:rsidP="00D457A9">
      <w:pPr>
        <w:spacing w:after="0" w:line="360" w:lineRule="auto"/>
        <w:jc w:val="both"/>
        <w:rPr>
          <w:rFonts w:ascii="Times New Roman" w:eastAsia="Calibri" w:hAnsi="Times New Roman" w:cs="Times New Roman"/>
          <w:sz w:val="24"/>
          <w:szCs w:val="24"/>
        </w:rPr>
      </w:pPr>
      <w:r w:rsidRPr="00D457A9">
        <w:rPr>
          <w:rFonts w:ascii="Times New Roman" w:eastAsia="Calibri" w:hAnsi="Times New Roman" w:cs="Times New Roman"/>
          <w:sz w:val="24"/>
          <w:szCs w:val="24"/>
        </w:rPr>
        <w:t xml:space="preserve">Vor den Interviews sammelte die Interviewerin die soziodemographischen Daten Alter, Geschlecht, Studienort und bei den Gemeindepfarrern und Krankenhausseelsorgern zusätzlich das Jahr ihrer Ordination sowie ihren aktuellen Tätigkeitsbereich, siehe Anhang 1. Diese Daten dienen zum einen der Vergleichbarkeit und stellen zum anderen bei der Interpretation der Interviews mögliche </w:t>
      </w:r>
      <w:proofErr w:type="spellStart"/>
      <w:r w:rsidRPr="00D457A9">
        <w:rPr>
          <w:rFonts w:ascii="Times New Roman" w:eastAsia="Calibri" w:hAnsi="Times New Roman" w:cs="Times New Roman"/>
          <w:sz w:val="24"/>
          <w:szCs w:val="24"/>
        </w:rPr>
        <w:t>Erklärvariablen</w:t>
      </w:r>
      <w:proofErr w:type="spellEnd"/>
      <w:r w:rsidRPr="00D457A9">
        <w:rPr>
          <w:rFonts w:ascii="Times New Roman" w:eastAsia="Calibri" w:hAnsi="Times New Roman" w:cs="Times New Roman"/>
          <w:sz w:val="24"/>
          <w:szCs w:val="24"/>
        </w:rPr>
        <w:t xml:space="preserve"> für die Perspektivierungen der Interviewten dar. </w:t>
      </w:r>
    </w:p>
    <w:p w:rsidR="00D457A9" w:rsidRPr="00D457A9" w:rsidRDefault="00D457A9" w:rsidP="00D457A9">
      <w:pPr>
        <w:autoSpaceDE w:val="0"/>
        <w:autoSpaceDN w:val="0"/>
        <w:adjustRightInd w:val="0"/>
        <w:spacing w:after="0" w:line="360" w:lineRule="auto"/>
        <w:jc w:val="both"/>
        <w:rPr>
          <w:rFonts w:ascii="Times New Roman" w:eastAsia="Calibri" w:hAnsi="Times New Roman" w:cs="Times New Roman"/>
          <w:sz w:val="24"/>
          <w:szCs w:val="24"/>
        </w:rPr>
      </w:pPr>
      <w:r w:rsidRPr="00D457A9">
        <w:rPr>
          <w:rFonts w:ascii="Times New Roman" w:eastAsia="Calibri" w:hAnsi="Times New Roman" w:cs="Times New Roman"/>
          <w:sz w:val="24"/>
          <w:szCs w:val="24"/>
        </w:rPr>
        <w:t>Aufgrund der Sensibilität des Themas Sterbehilfe waren meines Erachtens persönliche Face-</w:t>
      </w:r>
      <w:proofErr w:type="spellStart"/>
      <w:r w:rsidRPr="00D457A9">
        <w:rPr>
          <w:rFonts w:ascii="Times New Roman" w:eastAsia="Calibri" w:hAnsi="Times New Roman" w:cs="Times New Roman"/>
          <w:sz w:val="24"/>
          <w:szCs w:val="24"/>
        </w:rPr>
        <w:t>to</w:t>
      </w:r>
      <w:proofErr w:type="spellEnd"/>
      <w:r w:rsidRPr="00D457A9">
        <w:rPr>
          <w:rFonts w:ascii="Times New Roman" w:eastAsia="Calibri" w:hAnsi="Times New Roman" w:cs="Times New Roman"/>
          <w:sz w:val="24"/>
          <w:szCs w:val="24"/>
        </w:rPr>
        <w:t>-face-Interviews angeraten. Diese bieten den Vorteil, den Interviewrahmen leichter kontrollieren zu können.</w:t>
      </w:r>
      <w:r w:rsidRPr="00D457A9">
        <w:rPr>
          <w:rFonts w:ascii="Times New Roman" w:eastAsia="Calibri" w:hAnsi="Times New Roman" w:cs="Times New Roman"/>
          <w:sz w:val="24"/>
          <w:szCs w:val="24"/>
          <w:vertAlign w:val="superscript"/>
        </w:rPr>
        <w:footnoteReference w:id="13"/>
      </w:r>
    </w:p>
    <w:p w:rsidR="00D457A9" w:rsidRPr="00D457A9" w:rsidRDefault="00D457A9" w:rsidP="00D457A9">
      <w:pPr>
        <w:spacing w:after="200" w:line="360" w:lineRule="auto"/>
        <w:jc w:val="both"/>
        <w:rPr>
          <w:rFonts w:ascii="Times New Roman" w:eastAsia="Calibri" w:hAnsi="Times New Roman" w:cs="Times New Roman"/>
          <w:sz w:val="24"/>
        </w:rPr>
      </w:pPr>
      <w:r w:rsidRPr="00D457A9">
        <w:rPr>
          <w:rFonts w:ascii="Times New Roman" w:eastAsia="Calibri" w:hAnsi="Times New Roman" w:cs="Times New Roman"/>
          <w:sz w:val="24"/>
        </w:rPr>
        <w:t>Im Falle der Klinikseelsorger und der Gemeindepfarrer wurden die Interviews in den Arbeitsräumen der Interviewten geführt; die Interviews der Studierenden fanden in den Gruppenarbeitsräumen der Universitätsbibliothek Heidelberg statt. So konnte das Wohlbefinden der Interviewten sichergestellt werden. Bei den Interviews strebte die Interviewerin einen empathischen, aber dennoch neutralen Interviewstil an, um die Interviewten in ihren Antworten so wenig wie möglich zu beeinflussen.</w:t>
      </w:r>
      <w:r w:rsidRPr="00D457A9">
        <w:rPr>
          <w:rFonts w:ascii="Times New Roman" w:eastAsia="Calibri" w:hAnsi="Times New Roman" w:cs="Times New Roman"/>
          <w:sz w:val="24"/>
          <w:vertAlign w:val="superscript"/>
        </w:rPr>
        <w:footnoteReference w:id="14"/>
      </w:r>
    </w:p>
    <w:p w:rsidR="00D457A9" w:rsidRPr="00D457A9" w:rsidRDefault="00D457A9" w:rsidP="00D457A9">
      <w:pPr>
        <w:keepNext/>
        <w:keepLines/>
        <w:numPr>
          <w:ilvl w:val="1"/>
          <w:numId w:val="0"/>
        </w:numPr>
        <w:spacing w:after="120" w:line="360" w:lineRule="auto"/>
        <w:ind w:left="576" w:hanging="576"/>
        <w:jc w:val="both"/>
        <w:outlineLvl w:val="1"/>
        <w:rPr>
          <w:rFonts w:ascii="Times New Roman" w:eastAsia="Times New Roman" w:hAnsi="Times New Roman" w:cs="Times New Roman"/>
          <w:b/>
          <w:bCs/>
          <w:sz w:val="28"/>
          <w:szCs w:val="26"/>
        </w:rPr>
      </w:pPr>
      <w:bookmarkStart w:id="4" w:name="_Toc518114589"/>
      <w:r w:rsidRPr="00D457A9">
        <w:rPr>
          <w:rFonts w:ascii="Times New Roman" w:eastAsia="Times New Roman" w:hAnsi="Times New Roman" w:cs="Times New Roman"/>
          <w:b/>
          <w:bCs/>
          <w:sz w:val="28"/>
          <w:szCs w:val="26"/>
        </w:rPr>
        <w:t>Konzeption des Leitfadens</w:t>
      </w:r>
      <w:bookmarkEnd w:id="4"/>
    </w:p>
    <w:p w:rsidR="00D457A9" w:rsidRPr="00D457A9" w:rsidRDefault="00D457A9" w:rsidP="00D457A9">
      <w:pPr>
        <w:spacing w:after="0" w:line="360" w:lineRule="auto"/>
        <w:jc w:val="both"/>
        <w:rPr>
          <w:rFonts w:ascii="Times New Roman" w:eastAsia="Calibri" w:hAnsi="Times New Roman" w:cs="Times New Roman"/>
          <w:sz w:val="24"/>
          <w:szCs w:val="24"/>
        </w:rPr>
      </w:pPr>
      <w:r w:rsidRPr="00D457A9">
        <w:rPr>
          <w:rFonts w:ascii="Times New Roman" w:eastAsia="Calibri" w:hAnsi="Times New Roman" w:cs="Times New Roman"/>
          <w:sz w:val="24"/>
        </w:rPr>
        <w:t>Um eine Fokussierung der Interviews auf die Fragestellung der Arbeit zu gewährleisten, wurde zunächst ein Interviewleitfaden erstellt. Dieser Leitfaden besteht aus insgesamt 16 Hauptinterviewfragen und umfasst die verschiedenen Bereiche der Sterbehilfedebatte, die in den Kapiteln 2-6 dargelegt wurden. Neben der Abdeckung verschiedener relevanter Aspekte der Sterbehilfedebatte eröffnet der Leitfaden die Möglichkeit der freien und ausführlichen Repräsentation der subjektiven Einschätzungen und Einstellungen.</w:t>
      </w:r>
      <w:r w:rsidRPr="00D457A9">
        <w:rPr>
          <w:rFonts w:ascii="Times New Roman" w:eastAsia="Calibri" w:hAnsi="Times New Roman" w:cs="Times New Roman"/>
          <w:sz w:val="24"/>
          <w:vertAlign w:val="superscript"/>
        </w:rPr>
        <w:footnoteReference w:id="15"/>
      </w:r>
      <w:r w:rsidRPr="00D457A9">
        <w:rPr>
          <w:rFonts w:ascii="Times New Roman" w:eastAsia="Calibri" w:hAnsi="Times New Roman" w:cs="Times New Roman"/>
          <w:sz w:val="24"/>
        </w:rPr>
        <w:t xml:space="preserve"> Hierzu eignen sich zuvorderst offen formulierte Fragen, die auf berichtende Antworten abzielen</w:t>
      </w:r>
      <w:r w:rsidRPr="00D457A9">
        <w:rPr>
          <w:rFonts w:ascii="Times New Roman" w:eastAsia="Calibri" w:hAnsi="Times New Roman" w:cs="Times New Roman"/>
          <w:sz w:val="24"/>
          <w:szCs w:val="24"/>
        </w:rPr>
        <w:t>.</w:t>
      </w:r>
      <w:r w:rsidRPr="00D457A9">
        <w:rPr>
          <w:rFonts w:ascii="Times New Roman" w:eastAsia="Calibri" w:hAnsi="Times New Roman" w:cs="Times New Roman"/>
          <w:sz w:val="24"/>
          <w:szCs w:val="24"/>
          <w:vertAlign w:val="superscript"/>
        </w:rPr>
        <w:footnoteReference w:id="16"/>
      </w:r>
      <w:r w:rsidRPr="00D457A9">
        <w:rPr>
          <w:rFonts w:ascii="Times New Roman" w:eastAsia="Calibri" w:hAnsi="Times New Roman" w:cs="Times New Roman"/>
          <w:sz w:val="24"/>
          <w:szCs w:val="24"/>
        </w:rPr>
        <w:t xml:space="preserve"> Aufgrund des Forschungsinteresses und zugunsten der Vergleichbarkeit wird diese Fragetechnik jedoch bei einigen Interviewfragen durchbrochen. So beispielsweise bei der ethisch-moralischen Einschätzung spezifischer Fallbeispiele. Vor diesem Kern des Interviews stehen mit der </w:t>
      </w:r>
      <w:r w:rsidRPr="00D457A9">
        <w:rPr>
          <w:rFonts w:ascii="Times New Roman" w:eastAsia="Calibri" w:hAnsi="Times New Roman" w:cs="Times New Roman"/>
          <w:sz w:val="24"/>
          <w:szCs w:val="24"/>
        </w:rPr>
        <w:lastRenderedPageBreak/>
        <w:t>Begrüßung und einem auflockernden Einleitungsteil erste Elemente eines logisch aufgebauten Leitfadens.</w:t>
      </w:r>
      <w:r w:rsidRPr="00D457A9">
        <w:rPr>
          <w:rFonts w:ascii="Times New Roman" w:eastAsia="Calibri" w:hAnsi="Times New Roman" w:cs="Times New Roman"/>
          <w:sz w:val="24"/>
          <w:szCs w:val="24"/>
          <w:vertAlign w:val="superscript"/>
        </w:rPr>
        <w:footnoteReference w:id="17"/>
      </w:r>
    </w:p>
    <w:p w:rsidR="00D457A9" w:rsidRPr="00D457A9" w:rsidRDefault="00D457A9" w:rsidP="00D457A9">
      <w:pPr>
        <w:spacing w:after="0" w:line="360" w:lineRule="auto"/>
        <w:jc w:val="both"/>
        <w:rPr>
          <w:rFonts w:ascii="Times New Roman" w:eastAsia="Calibri" w:hAnsi="Times New Roman" w:cs="Times New Roman"/>
          <w:sz w:val="24"/>
          <w:szCs w:val="24"/>
        </w:rPr>
      </w:pPr>
      <w:r w:rsidRPr="00D457A9">
        <w:rPr>
          <w:rFonts w:ascii="Times New Roman" w:eastAsia="Calibri" w:hAnsi="Times New Roman" w:cs="Times New Roman"/>
          <w:sz w:val="24"/>
          <w:szCs w:val="24"/>
        </w:rPr>
        <w:t xml:space="preserve">In der Begrüßung findet zunächst die Dankbarkeit der Interviewbereitschaft ihren Ausdruck. Zudem werden rechtliche Aspekte der Anonymisierung und der Audioaufnahme abgedeckt. </w:t>
      </w:r>
    </w:p>
    <w:p w:rsidR="00D457A9" w:rsidRPr="00D457A9" w:rsidRDefault="00D457A9" w:rsidP="00D457A9">
      <w:pPr>
        <w:spacing w:after="0" w:line="360" w:lineRule="auto"/>
        <w:jc w:val="both"/>
        <w:rPr>
          <w:rFonts w:ascii="Times New Roman" w:eastAsia="Calibri" w:hAnsi="Times New Roman" w:cs="Times New Roman"/>
          <w:sz w:val="24"/>
          <w:szCs w:val="24"/>
        </w:rPr>
      </w:pPr>
      <w:r w:rsidRPr="00D457A9">
        <w:rPr>
          <w:rFonts w:ascii="Times New Roman" w:eastAsia="Calibri" w:hAnsi="Times New Roman" w:cs="Times New Roman"/>
          <w:sz w:val="24"/>
          <w:szCs w:val="24"/>
        </w:rPr>
        <w:t>Der angesprochene Einleitungsteil (Interviewfragen 1-2) erfragt einerseits die Berufswahlentscheidung der Interviewten, andererseits die Fachliteraturrezeption.</w:t>
      </w:r>
    </w:p>
    <w:p w:rsidR="00D457A9" w:rsidRPr="00D457A9" w:rsidRDefault="00D457A9" w:rsidP="00D457A9">
      <w:pPr>
        <w:spacing w:after="0" w:line="360" w:lineRule="auto"/>
        <w:jc w:val="both"/>
        <w:rPr>
          <w:rFonts w:ascii="Times New Roman" w:eastAsia="Calibri" w:hAnsi="Times New Roman" w:cs="Times New Roman"/>
          <w:sz w:val="24"/>
          <w:szCs w:val="24"/>
        </w:rPr>
      </w:pPr>
      <w:r w:rsidRPr="00D457A9">
        <w:rPr>
          <w:rFonts w:ascii="Times New Roman" w:eastAsia="Calibri" w:hAnsi="Times New Roman" w:cs="Times New Roman"/>
          <w:sz w:val="24"/>
          <w:szCs w:val="24"/>
        </w:rPr>
        <w:t>Anschließend rückt das Verständnis vom Tod (Interviewfragen 3-5) in den Mittelpunkt. Unter anderem werden hier mit der Ausgangsfrage zum Verständnis des Todes im Mittelalter Erzählstimuli gesetzt.</w:t>
      </w:r>
      <w:r w:rsidRPr="00D457A9">
        <w:rPr>
          <w:rFonts w:ascii="Times New Roman" w:eastAsia="Calibri" w:hAnsi="Times New Roman" w:cs="Times New Roman"/>
          <w:sz w:val="24"/>
          <w:szCs w:val="24"/>
          <w:vertAlign w:val="superscript"/>
        </w:rPr>
        <w:footnoteReference w:id="18"/>
      </w:r>
      <w:r w:rsidRPr="00D457A9">
        <w:rPr>
          <w:rFonts w:ascii="Times New Roman" w:eastAsia="Calibri" w:hAnsi="Times New Roman" w:cs="Times New Roman"/>
          <w:sz w:val="24"/>
          <w:szCs w:val="24"/>
        </w:rPr>
        <w:t xml:space="preserve"> Als </w:t>
      </w:r>
      <w:proofErr w:type="spellStart"/>
      <w:r w:rsidRPr="00D457A9">
        <w:rPr>
          <w:rFonts w:ascii="Times New Roman" w:eastAsia="Calibri" w:hAnsi="Times New Roman" w:cs="Times New Roman"/>
          <w:sz w:val="24"/>
          <w:szCs w:val="24"/>
        </w:rPr>
        <w:t>Erklärvariable</w:t>
      </w:r>
      <w:proofErr w:type="spellEnd"/>
      <w:r w:rsidRPr="00D457A9">
        <w:rPr>
          <w:rFonts w:ascii="Times New Roman" w:eastAsia="Calibri" w:hAnsi="Times New Roman" w:cs="Times New Roman"/>
          <w:sz w:val="24"/>
          <w:szCs w:val="24"/>
        </w:rPr>
        <w:t xml:space="preserve"> wird zusätzlich ermittelt, ob der Interviewte mit konkreten Sterbehilfefällen in Berührung gekommen ist. Diesen Interviewpart abschließend äußern die Interviewten intuitiv, ob Menschen sich heute eher einen ausgewählten Todeszeitpunkt wünschen oder Mut zur Gelassenheit am Lebensende zeigen. </w:t>
      </w:r>
    </w:p>
    <w:p w:rsidR="00D457A9" w:rsidRPr="00D457A9" w:rsidRDefault="00D457A9" w:rsidP="00D457A9">
      <w:pPr>
        <w:spacing w:after="0" w:line="360" w:lineRule="auto"/>
        <w:jc w:val="both"/>
        <w:rPr>
          <w:rFonts w:ascii="Times New Roman" w:eastAsia="Calibri" w:hAnsi="Times New Roman" w:cs="Times New Roman"/>
          <w:sz w:val="24"/>
          <w:szCs w:val="24"/>
        </w:rPr>
      </w:pPr>
      <w:r w:rsidRPr="00D457A9">
        <w:rPr>
          <w:rFonts w:ascii="Times New Roman" w:eastAsia="Calibri" w:hAnsi="Times New Roman" w:cs="Times New Roman"/>
          <w:sz w:val="24"/>
          <w:szCs w:val="24"/>
        </w:rPr>
        <w:t xml:space="preserve">Es folgen fünf Beispiele zu Sterbehilfearten (Interviewfragen 6-9) und ein Beispiel zu Sterbehilfeformen (Interviewfrage 10), die von den Interviewten mit entsprechender Argumentation ethisch-moralisch eingeordnet werden sollen. Bei den Antworten auf die Beispiele unterbrach die Interviewerin die Interviewten selten, um Erzählungen und Vergleiche mit eigenen Erfahrungen der Befragten zu ermöglichen. Die Antworten wurden jedoch mit Rückfragen zu den Argumentationen versehen, um die </w:t>
      </w:r>
      <w:proofErr w:type="spellStart"/>
      <w:r w:rsidRPr="00D457A9">
        <w:rPr>
          <w:rFonts w:ascii="Times New Roman" w:eastAsia="Calibri" w:hAnsi="Times New Roman" w:cs="Times New Roman"/>
          <w:sz w:val="24"/>
          <w:szCs w:val="24"/>
        </w:rPr>
        <w:t>Erklärmechanismen</w:t>
      </w:r>
      <w:proofErr w:type="spellEnd"/>
      <w:r w:rsidRPr="00D457A9">
        <w:rPr>
          <w:rFonts w:ascii="Times New Roman" w:eastAsia="Calibri" w:hAnsi="Times New Roman" w:cs="Times New Roman"/>
          <w:sz w:val="24"/>
          <w:szCs w:val="24"/>
        </w:rPr>
        <w:t xml:space="preserve"> illustrativer zu gestalten. </w:t>
      </w:r>
    </w:p>
    <w:p w:rsidR="00D457A9" w:rsidRPr="00D457A9" w:rsidRDefault="00D457A9" w:rsidP="00D457A9">
      <w:pPr>
        <w:spacing w:after="0" w:line="360" w:lineRule="auto"/>
        <w:jc w:val="both"/>
        <w:rPr>
          <w:rFonts w:ascii="Times New Roman" w:eastAsia="Calibri" w:hAnsi="Times New Roman" w:cs="Times New Roman"/>
          <w:sz w:val="24"/>
          <w:szCs w:val="24"/>
        </w:rPr>
      </w:pPr>
      <w:r w:rsidRPr="00D457A9">
        <w:rPr>
          <w:rFonts w:ascii="Times New Roman" w:eastAsia="Calibri" w:hAnsi="Times New Roman" w:cs="Times New Roman"/>
          <w:sz w:val="24"/>
          <w:szCs w:val="24"/>
        </w:rPr>
        <w:t xml:space="preserve">Selbstredend enthält der Leitfaden auch Spezifizierungsfragen, die dann auftreten, wenn bestimmte Aspekte in den Antworten der Interviewten nicht offenkundig wurden. </w:t>
      </w:r>
    </w:p>
    <w:p w:rsidR="00D457A9" w:rsidRPr="00D457A9" w:rsidRDefault="00D457A9" w:rsidP="00D457A9">
      <w:pPr>
        <w:spacing w:after="0" w:line="360" w:lineRule="auto"/>
        <w:jc w:val="both"/>
        <w:rPr>
          <w:rFonts w:ascii="Times New Roman" w:eastAsia="Calibri" w:hAnsi="Times New Roman" w:cs="Times New Roman"/>
          <w:sz w:val="24"/>
          <w:szCs w:val="24"/>
        </w:rPr>
      </w:pPr>
      <w:r w:rsidRPr="00D457A9">
        <w:rPr>
          <w:rFonts w:ascii="Times New Roman" w:eastAsia="Calibri" w:hAnsi="Times New Roman" w:cs="Times New Roman"/>
          <w:sz w:val="24"/>
          <w:szCs w:val="24"/>
        </w:rPr>
        <w:t xml:space="preserve">Es folgt eine Abfrage zum Verständnis und der subjektiven Relevanz bestimmter Begriffe der Sterbehilfedebatte (Interviewfragen 11-12) wie Würde und Selbstbestimmung oder Unverfügbarkeit des Lebens, die häufig an die Argumentation der Sterbehilfefälle anknüpft. </w:t>
      </w:r>
    </w:p>
    <w:p w:rsidR="00D457A9" w:rsidRPr="00D457A9" w:rsidRDefault="00D457A9" w:rsidP="00D457A9">
      <w:pPr>
        <w:spacing w:after="0" w:line="360" w:lineRule="auto"/>
        <w:jc w:val="both"/>
        <w:rPr>
          <w:rFonts w:ascii="Times New Roman" w:eastAsia="Calibri" w:hAnsi="Times New Roman" w:cs="Times New Roman"/>
          <w:sz w:val="24"/>
          <w:szCs w:val="24"/>
        </w:rPr>
      </w:pPr>
      <w:r w:rsidRPr="00D457A9">
        <w:rPr>
          <w:rFonts w:ascii="Times New Roman" w:eastAsia="Calibri" w:hAnsi="Times New Roman" w:cs="Times New Roman"/>
          <w:sz w:val="24"/>
          <w:szCs w:val="24"/>
        </w:rPr>
        <w:t xml:space="preserve">Schließlich geht es im Interview um die möglichen Konsequenzen einer hypothetischen Legalisierung jeglicher Sterbehilfeformen (Interviewfrage 13). Die Fragen in diesem Abschnitt sind allesamt offen gestellt. </w:t>
      </w:r>
    </w:p>
    <w:p w:rsidR="00D457A9" w:rsidRPr="00D457A9" w:rsidRDefault="00D457A9" w:rsidP="00D457A9">
      <w:pPr>
        <w:spacing w:after="0" w:line="360" w:lineRule="auto"/>
        <w:jc w:val="both"/>
        <w:rPr>
          <w:rFonts w:ascii="Times New Roman" w:eastAsia="Calibri" w:hAnsi="Times New Roman" w:cs="Times New Roman"/>
          <w:sz w:val="24"/>
          <w:szCs w:val="24"/>
        </w:rPr>
      </w:pPr>
      <w:r w:rsidRPr="00D457A9">
        <w:rPr>
          <w:rFonts w:ascii="Times New Roman" w:eastAsia="Calibri" w:hAnsi="Times New Roman" w:cs="Times New Roman"/>
          <w:sz w:val="24"/>
          <w:szCs w:val="24"/>
        </w:rPr>
        <w:t xml:space="preserve">Daraufhin werden die Motive eines Sterbewunsches genannt, wobei vom Interviewten Alternativen und Möglichkeiten zur Sterbehilfe genannt und ausgeführt werden sollen (Interviewfrage 14). </w:t>
      </w:r>
    </w:p>
    <w:p w:rsidR="00D457A9" w:rsidRPr="00D457A9" w:rsidRDefault="00D457A9" w:rsidP="00D457A9">
      <w:pPr>
        <w:spacing w:after="0" w:line="360" w:lineRule="auto"/>
        <w:jc w:val="both"/>
        <w:rPr>
          <w:rFonts w:ascii="Times New Roman" w:eastAsia="Calibri" w:hAnsi="Times New Roman" w:cs="Times New Roman"/>
          <w:sz w:val="24"/>
          <w:szCs w:val="24"/>
        </w:rPr>
      </w:pPr>
      <w:r w:rsidRPr="00D457A9">
        <w:rPr>
          <w:rFonts w:ascii="Times New Roman" w:eastAsia="Calibri" w:hAnsi="Times New Roman" w:cs="Times New Roman"/>
          <w:sz w:val="24"/>
          <w:szCs w:val="24"/>
        </w:rPr>
        <w:t xml:space="preserve">Eine weitere </w:t>
      </w:r>
      <w:proofErr w:type="spellStart"/>
      <w:r w:rsidRPr="00D457A9">
        <w:rPr>
          <w:rFonts w:ascii="Times New Roman" w:eastAsia="Calibri" w:hAnsi="Times New Roman" w:cs="Times New Roman"/>
          <w:sz w:val="24"/>
          <w:szCs w:val="24"/>
        </w:rPr>
        <w:t>Erklärvariable</w:t>
      </w:r>
      <w:proofErr w:type="spellEnd"/>
      <w:r w:rsidRPr="00D457A9">
        <w:rPr>
          <w:rFonts w:ascii="Times New Roman" w:eastAsia="Calibri" w:hAnsi="Times New Roman" w:cs="Times New Roman"/>
          <w:sz w:val="24"/>
          <w:szCs w:val="24"/>
        </w:rPr>
        <w:t xml:space="preserve"> stellt die Frage nach der Rezeption von EKD-Texten, insbesondere in Bezug auf die Sterbehilfedebatte, dar (Interviewfrage 15). </w:t>
      </w:r>
    </w:p>
    <w:p w:rsidR="00D457A9" w:rsidRPr="00D457A9" w:rsidRDefault="00D457A9" w:rsidP="00D457A9">
      <w:pPr>
        <w:spacing w:after="0" w:line="360" w:lineRule="auto"/>
        <w:jc w:val="both"/>
        <w:rPr>
          <w:rFonts w:ascii="Times New Roman" w:eastAsia="Calibri" w:hAnsi="Times New Roman" w:cs="Times New Roman"/>
          <w:sz w:val="24"/>
          <w:szCs w:val="24"/>
        </w:rPr>
      </w:pPr>
      <w:r w:rsidRPr="00D457A9">
        <w:rPr>
          <w:rFonts w:ascii="Times New Roman" w:eastAsia="Calibri" w:hAnsi="Times New Roman" w:cs="Times New Roman"/>
          <w:sz w:val="24"/>
          <w:szCs w:val="24"/>
        </w:rPr>
        <w:lastRenderedPageBreak/>
        <w:t xml:space="preserve">Die Interviews schließen mit der persönlichen Frage, wie sich die Interviewten ihren eigenen Tod wünschen (Interviewfrage 16). Diese Frage repräsentiert nicht zuletzt pointiert die Einstellungen der Interviewten zur Sterbehilfe in subjektiver Hinsicht. </w:t>
      </w:r>
    </w:p>
    <w:p w:rsidR="00D457A9" w:rsidRPr="00D457A9" w:rsidRDefault="00D457A9" w:rsidP="00D457A9">
      <w:pPr>
        <w:spacing w:after="0" w:line="360" w:lineRule="auto"/>
        <w:jc w:val="both"/>
        <w:rPr>
          <w:rFonts w:ascii="Times New Roman" w:eastAsia="Calibri" w:hAnsi="Times New Roman" w:cs="Times New Roman"/>
          <w:sz w:val="24"/>
          <w:szCs w:val="24"/>
        </w:rPr>
      </w:pPr>
      <w:r w:rsidRPr="00D457A9">
        <w:rPr>
          <w:rFonts w:ascii="Times New Roman" w:eastAsia="Calibri" w:hAnsi="Times New Roman" w:cs="Times New Roman"/>
          <w:sz w:val="24"/>
          <w:szCs w:val="24"/>
        </w:rPr>
        <w:t xml:space="preserve">Das Interview schließt mit einer kurzen Beschreibung der weiteren Vorgehensweise der Interviewerin hinsichtlich Auswertung und Übermittlung der Ergebnisse. </w:t>
      </w:r>
    </w:p>
    <w:p w:rsidR="00D457A9" w:rsidRPr="00D457A9" w:rsidRDefault="00D457A9" w:rsidP="00D457A9">
      <w:pPr>
        <w:spacing w:after="0" w:line="360" w:lineRule="auto"/>
        <w:jc w:val="both"/>
        <w:rPr>
          <w:rFonts w:ascii="Times New Roman" w:eastAsia="Calibri" w:hAnsi="Times New Roman" w:cs="Times New Roman"/>
          <w:sz w:val="24"/>
        </w:rPr>
      </w:pPr>
      <w:r w:rsidRPr="00D457A9">
        <w:rPr>
          <w:rFonts w:ascii="Times New Roman" w:eastAsia="Calibri" w:hAnsi="Times New Roman" w:cs="Times New Roman"/>
          <w:sz w:val="24"/>
        </w:rPr>
        <w:t>Vor der finalen Erstellung dieses Leitfadens wurde ein Pretest durchgeführt, um die Klarheit der Fragen zu garantieren und die Antwortqualität zu antizipieren.</w:t>
      </w:r>
      <w:r w:rsidRPr="00D457A9">
        <w:rPr>
          <w:rFonts w:ascii="Times New Roman" w:eastAsia="Calibri" w:hAnsi="Times New Roman" w:cs="Times New Roman"/>
          <w:sz w:val="24"/>
          <w:vertAlign w:val="superscript"/>
        </w:rPr>
        <w:footnoteReference w:id="19"/>
      </w:r>
      <w:r w:rsidRPr="00D457A9">
        <w:rPr>
          <w:rFonts w:ascii="Times New Roman" w:eastAsia="Calibri" w:hAnsi="Times New Roman" w:cs="Times New Roman"/>
          <w:sz w:val="24"/>
        </w:rPr>
        <w:t xml:space="preserve"> Nach diesem Pretest waren lediglich kleine Änderungen am Leitfaden vorzunehmen. Dies betraf beispielsweise die Verbesserung von Begrifflichkeiten, beispielsweise von ethisch zu ethisch-moralisch. Außerdem wurde die Frage nach der Begrifflichkeit der Fürsorge im Zusammenhang mit der Begrifflichkeit Unverfügbarkeit des Lebens gestrichen. Hinzugefügt wurde dagegen die Frage nach der Rezeption von EKD-Texten. </w:t>
      </w:r>
    </w:p>
    <w:p w:rsidR="00D457A9" w:rsidRPr="00D457A9" w:rsidRDefault="00D457A9" w:rsidP="00D457A9">
      <w:pPr>
        <w:spacing w:after="200" w:line="360" w:lineRule="auto"/>
        <w:jc w:val="both"/>
        <w:rPr>
          <w:rFonts w:ascii="Times New Roman" w:eastAsia="Calibri" w:hAnsi="Times New Roman" w:cs="Times New Roman"/>
          <w:sz w:val="24"/>
        </w:rPr>
      </w:pPr>
      <w:r w:rsidRPr="00D457A9">
        <w:rPr>
          <w:rFonts w:ascii="Times New Roman" w:eastAsia="Calibri" w:hAnsi="Times New Roman" w:cs="Times New Roman"/>
          <w:sz w:val="24"/>
        </w:rPr>
        <w:t xml:space="preserve">Die finalen Leitfäden finden sich im Anhang 2-4. Sie weichen in Abhängigkeit von den Untersuchungsgruppen leicht voneinander ab. </w:t>
      </w:r>
    </w:p>
    <w:p w:rsidR="00D457A9" w:rsidRPr="00D457A9" w:rsidRDefault="00D457A9" w:rsidP="00D457A9">
      <w:pPr>
        <w:keepNext/>
        <w:keepLines/>
        <w:numPr>
          <w:ilvl w:val="1"/>
          <w:numId w:val="0"/>
        </w:numPr>
        <w:spacing w:after="120" w:line="360" w:lineRule="auto"/>
        <w:ind w:left="576" w:hanging="576"/>
        <w:jc w:val="both"/>
        <w:outlineLvl w:val="1"/>
        <w:rPr>
          <w:rFonts w:ascii="Times New Roman" w:eastAsia="Times New Roman" w:hAnsi="Times New Roman" w:cs="Times New Roman"/>
          <w:b/>
          <w:bCs/>
          <w:sz w:val="28"/>
          <w:szCs w:val="26"/>
        </w:rPr>
      </w:pPr>
      <w:bookmarkStart w:id="5" w:name="_Toc518114590"/>
      <w:r w:rsidRPr="00D457A9">
        <w:rPr>
          <w:rFonts w:ascii="Times New Roman" w:eastAsia="Times New Roman" w:hAnsi="Times New Roman" w:cs="Times New Roman"/>
          <w:b/>
          <w:bCs/>
          <w:sz w:val="28"/>
          <w:szCs w:val="26"/>
        </w:rPr>
        <w:t>Transkription und Analysesystem</w:t>
      </w:r>
      <w:bookmarkEnd w:id="5"/>
      <w:r w:rsidRPr="00D457A9">
        <w:rPr>
          <w:rFonts w:ascii="Times New Roman" w:eastAsia="Times New Roman" w:hAnsi="Times New Roman" w:cs="Times New Roman"/>
          <w:b/>
          <w:bCs/>
          <w:sz w:val="28"/>
          <w:szCs w:val="26"/>
        </w:rPr>
        <w:t xml:space="preserve"> </w:t>
      </w:r>
    </w:p>
    <w:p w:rsidR="00D457A9" w:rsidRPr="00D457A9" w:rsidRDefault="00D457A9" w:rsidP="00D457A9">
      <w:pPr>
        <w:autoSpaceDE w:val="0"/>
        <w:autoSpaceDN w:val="0"/>
        <w:adjustRightInd w:val="0"/>
        <w:spacing w:after="0" w:line="360" w:lineRule="auto"/>
        <w:jc w:val="both"/>
        <w:rPr>
          <w:rFonts w:ascii="Times New Roman" w:eastAsia="Calibri" w:hAnsi="Times New Roman" w:cs="Times New Roman"/>
          <w:sz w:val="24"/>
        </w:rPr>
      </w:pPr>
      <w:r w:rsidRPr="00D457A9">
        <w:rPr>
          <w:rFonts w:ascii="Times New Roman" w:eastAsia="Calibri" w:hAnsi="Times New Roman" w:cs="Times New Roman"/>
          <w:sz w:val="24"/>
        </w:rPr>
        <w:t xml:space="preserve">Wie im Interview selbst erwähnt, wurden die Interviews auf einem Tonträger aufgenommen, um diese anschließend mithilfe des Programms FOLKER zu transkribieren. Da es das Ziel der Interviews ist, die </w:t>
      </w:r>
      <w:proofErr w:type="spellStart"/>
      <w:r w:rsidRPr="00D457A9">
        <w:rPr>
          <w:rFonts w:ascii="Times New Roman" w:eastAsia="Calibri" w:hAnsi="Times New Roman" w:cs="Times New Roman"/>
          <w:sz w:val="24"/>
        </w:rPr>
        <w:t>Erklärmechanismen</w:t>
      </w:r>
      <w:proofErr w:type="spellEnd"/>
      <w:r w:rsidRPr="00D457A9">
        <w:rPr>
          <w:rFonts w:ascii="Times New Roman" w:eastAsia="Calibri" w:hAnsi="Times New Roman" w:cs="Times New Roman"/>
          <w:sz w:val="24"/>
        </w:rPr>
        <w:t xml:space="preserve"> der Probanden zu analysieren, fokussiert die Transkription die inhaltlichen Momente der Interviews. Demzufolge sind die Transkripte als einfache, wissenschaftliche Transkripte zu kennzeichnen,</w:t>
      </w:r>
      <w:r w:rsidRPr="00D457A9">
        <w:rPr>
          <w:rFonts w:ascii="Times New Roman" w:eastAsia="Calibri" w:hAnsi="Times New Roman" w:cs="Times New Roman"/>
          <w:sz w:val="24"/>
          <w:vertAlign w:val="superscript"/>
        </w:rPr>
        <w:footnoteReference w:id="20"/>
      </w:r>
      <w:r w:rsidRPr="00D457A9">
        <w:rPr>
          <w:rFonts w:ascii="Times New Roman" w:eastAsia="Calibri" w:hAnsi="Times New Roman" w:cs="Times New Roman"/>
          <w:sz w:val="24"/>
        </w:rPr>
        <w:t xml:space="preserve"> welche zur besseren Lesbarkeit leicht geglättet wurden.</w:t>
      </w:r>
      <w:r w:rsidRPr="00D457A9">
        <w:rPr>
          <w:rFonts w:ascii="Times New Roman" w:eastAsia="Calibri" w:hAnsi="Times New Roman" w:cs="Times New Roman"/>
          <w:sz w:val="24"/>
          <w:vertAlign w:val="superscript"/>
        </w:rPr>
        <w:footnoteReference w:id="21"/>
      </w:r>
      <w:r w:rsidRPr="00D457A9">
        <w:rPr>
          <w:rFonts w:ascii="Times New Roman" w:eastAsia="Calibri" w:hAnsi="Times New Roman" w:cs="Times New Roman"/>
          <w:sz w:val="24"/>
        </w:rPr>
        <w:t xml:space="preserve"> Die einzelnen Transkripte sind aus Gründen der Anonymisierung nach den Untersuchungsgruppen (A = angehende Pfarrer, B = Gemeindepfarrer und C = Krankenhausseelsorger) sowie einer fortlaufenden Ziffer benannt. Die Sprecher sind jeweils mit A für die Interviewerin und I für die Interviewten benannt. Alle Interviews liegen unterteilt nach Interakten zur Einsicht im elektronischen Anhang vor. In Anhang 5 steht zudem ein exemplarischer </w:t>
      </w:r>
      <w:proofErr w:type="spellStart"/>
      <w:r w:rsidRPr="00D457A9">
        <w:rPr>
          <w:rFonts w:ascii="Times New Roman" w:eastAsia="Calibri" w:hAnsi="Times New Roman" w:cs="Times New Roman"/>
          <w:sz w:val="24"/>
        </w:rPr>
        <w:t>Transkriptausschnitt</w:t>
      </w:r>
      <w:proofErr w:type="spellEnd"/>
      <w:r w:rsidRPr="00D457A9">
        <w:rPr>
          <w:rFonts w:ascii="Times New Roman" w:eastAsia="Calibri" w:hAnsi="Times New Roman" w:cs="Times New Roman"/>
          <w:sz w:val="24"/>
        </w:rPr>
        <w:t xml:space="preserve"> von Transkript A1 zur Verfügung. Die Intervieweröffnung und der Interviewschluss wurden lediglich bei Interview B1 transkribiert, da auf die standardisierten Ausführungen der Interviewerin keinerlei Nachfragen oder interpretationsbedürftige Inhalte folgten. </w:t>
      </w:r>
    </w:p>
    <w:p w:rsidR="00D457A9" w:rsidRPr="00127D7D" w:rsidRDefault="00D457A9" w:rsidP="00127D7D">
      <w:pPr>
        <w:spacing w:after="200" w:line="360" w:lineRule="auto"/>
        <w:jc w:val="both"/>
        <w:rPr>
          <w:rFonts w:ascii="Times New Roman" w:eastAsia="Calibri" w:hAnsi="Times New Roman" w:cs="Times New Roman"/>
          <w:sz w:val="24"/>
        </w:rPr>
      </w:pPr>
      <w:r w:rsidRPr="00D457A9">
        <w:rPr>
          <w:rFonts w:ascii="Times New Roman" w:eastAsia="Calibri" w:hAnsi="Times New Roman" w:cs="Times New Roman"/>
          <w:sz w:val="24"/>
        </w:rPr>
        <w:lastRenderedPageBreak/>
        <w:t>Die Transkripte wurden nach Mayrings qualitativer Inhaltsanalyse analysiert. Einem zusammenhängenden Materialdurchgang folgte hierbei die Gegenüberstellung der Antworten auf die jeweiligen Fragen in einem Querschnitt. In Abgleich mit den theoretischen Grundlagen und den Überlegungen zur Leitfadenkonzeption wurden Analysekategorien gebildet,</w:t>
      </w:r>
      <w:r w:rsidRPr="00D457A9">
        <w:rPr>
          <w:rFonts w:ascii="Times New Roman" w:eastAsia="Calibri" w:hAnsi="Times New Roman" w:cs="Times New Roman"/>
          <w:sz w:val="24"/>
          <w:vertAlign w:val="superscript"/>
        </w:rPr>
        <w:footnoteReference w:id="22"/>
      </w:r>
      <w:r w:rsidRPr="00D457A9">
        <w:rPr>
          <w:rFonts w:ascii="Times New Roman" w:eastAsia="Calibri" w:hAnsi="Times New Roman" w:cs="Times New Roman"/>
          <w:sz w:val="24"/>
        </w:rPr>
        <w:t xml:space="preserve"> die im Verlauf der Analyse überprüft und adaptiert wurden.</w:t>
      </w:r>
      <w:r w:rsidRPr="00D457A9">
        <w:rPr>
          <w:rFonts w:ascii="Times New Roman" w:eastAsia="Calibri" w:hAnsi="Times New Roman" w:cs="Times New Roman"/>
          <w:sz w:val="24"/>
          <w:vertAlign w:val="superscript"/>
        </w:rPr>
        <w:footnoteReference w:id="23"/>
      </w:r>
      <w:r w:rsidRPr="00D457A9">
        <w:rPr>
          <w:rFonts w:ascii="Times New Roman" w:eastAsia="Calibri" w:hAnsi="Times New Roman" w:cs="Times New Roman"/>
          <w:sz w:val="24"/>
        </w:rPr>
        <w:t xml:space="preserve"> Die Darstellung der Analyse unterteilt sich in die drei Untersuchungsgruppen (Kapitel 7.5) und eine interpretatorische Gegenüberstellung der Gemeinsamkeiten und Unterschiede zwischen diesen Gruppen (Kapitel 7.6). Dadurch werden die Argumentationsschemata intra- und intergruppal vergleichbar. </w:t>
      </w:r>
      <w:r w:rsidR="00747279">
        <w:rPr>
          <w:rFonts w:ascii="Times New Roman" w:eastAsia="Calibri" w:hAnsi="Times New Roman" w:cs="Times New Roman"/>
          <w:sz w:val="24"/>
        </w:rPr>
        <w:t xml:space="preserve"> </w:t>
      </w:r>
      <w:bookmarkStart w:id="6" w:name="_GoBack"/>
      <w:bookmarkEnd w:id="6"/>
    </w:p>
    <w:sectPr w:rsidR="00D457A9" w:rsidRPr="00127D7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3C9" w:rsidRDefault="003D33C9" w:rsidP="00D457A9">
      <w:pPr>
        <w:spacing w:after="0" w:line="240" w:lineRule="auto"/>
      </w:pPr>
      <w:r>
        <w:separator/>
      </w:r>
    </w:p>
  </w:endnote>
  <w:endnote w:type="continuationSeparator" w:id="0">
    <w:p w:rsidR="003D33C9" w:rsidRDefault="003D33C9" w:rsidP="00D4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3C9" w:rsidRDefault="003D33C9" w:rsidP="00D457A9">
      <w:pPr>
        <w:spacing w:after="0" w:line="240" w:lineRule="auto"/>
      </w:pPr>
      <w:r>
        <w:separator/>
      </w:r>
    </w:p>
  </w:footnote>
  <w:footnote w:type="continuationSeparator" w:id="0">
    <w:p w:rsidR="003D33C9" w:rsidRDefault="003D33C9" w:rsidP="00D457A9">
      <w:pPr>
        <w:spacing w:after="0" w:line="240" w:lineRule="auto"/>
      </w:pPr>
      <w:r>
        <w:continuationSeparator/>
      </w:r>
    </w:p>
  </w:footnote>
  <w:footnote w:id="1">
    <w:p w:rsidR="00D457A9" w:rsidRDefault="00D457A9" w:rsidP="00D457A9">
      <w:pPr>
        <w:pStyle w:val="Funotentext"/>
      </w:pPr>
      <w:r>
        <w:rPr>
          <w:rStyle w:val="Funotenzeichen"/>
        </w:rPr>
        <w:footnoteRef/>
      </w:r>
      <w:r>
        <w:t xml:space="preserve"> Vgl. </w:t>
      </w:r>
      <w:r>
        <w:rPr>
          <w:smallCaps/>
        </w:rPr>
        <w:t>Atteslander, Peter</w:t>
      </w:r>
      <w:r>
        <w:t xml:space="preserve">: Methoden der empirischen Sozialforschung (ESV </w:t>
      </w:r>
      <w:proofErr w:type="spellStart"/>
      <w:r>
        <w:t>basics</w:t>
      </w:r>
      <w:proofErr w:type="spellEnd"/>
      <w:r>
        <w:t xml:space="preserve">), Berlin </w:t>
      </w:r>
      <w:r w:rsidRPr="008C2AD9">
        <w:rPr>
          <w:vertAlign w:val="superscript"/>
        </w:rPr>
        <w:t>13</w:t>
      </w:r>
      <w:r>
        <w:t>2010, S. 13.</w:t>
      </w:r>
    </w:p>
  </w:footnote>
  <w:footnote w:id="2">
    <w:p w:rsidR="00D457A9" w:rsidRDefault="00D457A9" w:rsidP="00D457A9">
      <w:pPr>
        <w:pStyle w:val="Funotentext"/>
      </w:pPr>
      <w:r>
        <w:rPr>
          <w:rStyle w:val="Funotenzeichen"/>
        </w:rPr>
        <w:footnoteRef/>
      </w:r>
      <w:r>
        <w:t xml:space="preserve"> Vgl. </w:t>
      </w:r>
      <w:r w:rsidRPr="008C2AD9">
        <w:rPr>
          <w:smallCaps/>
        </w:rPr>
        <w:t>Diekmann, Andreas</w:t>
      </w:r>
      <w:r>
        <w:t xml:space="preserve">: Empirische Sozialforschung. Grundlagen, Methoden, Anwendungen </w:t>
      </w:r>
    </w:p>
    <w:p w:rsidR="00D457A9" w:rsidRDefault="00D457A9" w:rsidP="00D457A9">
      <w:pPr>
        <w:pStyle w:val="Funotentext"/>
      </w:pPr>
      <w:r>
        <w:t xml:space="preserve">(Rowohlts Enzyklopädie), Reinbek bei Hamburg </w:t>
      </w:r>
      <w:r w:rsidRPr="008C2AD9">
        <w:rPr>
          <w:vertAlign w:val="superscript"/>
        </w:rPr>
        <w:t>20</w:t>
      </w:r>
      <w:r>
        <w:t>2009, S. 249.</w:t>
      </w:r>
    </w:p>
  </w:footnote>
  <w:footnote w:id="3">
    <w:p w:rsidR="00D457A9" w:rsidRPr="008C2AD9" w:rsidRDefault="00D457A9" w:rsidP="00D457A9">
      <w:pPr>
        <w:autoSpaceDE w:val="0"/>
        <w:autoSpaceDN w:val="0"/>
        <w:adjustRightInd w:val="0"/>
        <w:spacing w:after="0" w:line="240" w:lineRule="auto"/>
        <w:rPr>
          <w:rFonts w:cs="Times New Roman"/>
          <w:sz w:val="20"/>
        </w:rPr>
      </w:pPr>
      <w:r w:rsidRPr="008C2AD9">
        <w:rPr>
          <w:rStyle w:val="Funotenzeichen"/>
          <w:sz w:val="20"/>
        </w:rPr>
        <w:footnoteRef/>
      </w:r>
      <w:r w:rsidRPr="008C2AD9">
        <w:rPr>
          <w:sz w:val="20"/>
        </w:rPr>
        <w:t xml:space="preserve"> Vgl. </w:t>
      </w:r>
      <w:r w:rsidRPr="008C2AD9">
        <w:rPr>
          <w:rFonts w:cs="Times New Roman"/>
          <w:smallCaps/>
          <w:sz w:val="20"/>
        </w:rPr>
        <w:t>Lamnek, Siegfried &amp; Krell, Claudia</w:t>
      </w:r>
      <w:r w:rsidRPr="008C2AD9">
        <w:rPr>
          <w:rFonts w:cs="Times New Roman"/>
          <w:sz w:val="20"/>
        </w:rPr>
        <w:t xml:space="preserve">: Qualitative Sozialforschung. Mit Online-Material, Weinheim &amp; Basel </w:t>
      </w:r>
      <w:r w:rsidRPr="008C2AD9">
        <w:rPr>
          <w:rFonts w:cs="Times New Roman"/>
          <w:sz w:val="20"/>
          <w:vertAlign w:val="superscript"/>
        </w:rPr>
        <w:t>6</w:t>
      </w:r>
      <w:r>
        <w:rPr>
          <w:rFonts w:cs="Times New Roman"/>
          <w:sz w:val="20"/>
        </w:rPr>
        <w:t>2016, S. 20.</w:t>
      </w:r>
    </w:p>
  </w:footnote>
  <w:footnote w:id="4">
    <w:p w:rsidR="00D457A9" w:rsidRDefault="00D457A9" w:rsidP="00D457A9">
      <w:pPr>
        <w:pStyle w:val="Funotentext"/>
      </w:pPr>
      <w:r>
        <w:rPr>
          <w:rStyle w:val="Funotenzeichen"/>
        </w:rPr>
        <w:footnoteRef/>
      </w:r>
      <w:r>
        <w:t xml:space="preserve"> Vgl. ebd., S. 22. </w:t>
      </w:r>
    </w:p>
  </w:footnote>
  <w:footnote w:id="5">
    <w:p w:rsidR="00D457A9" w:rsidRDefault="00D457A9" w:rsidP="00D457A9">
      <w:pPr>
        <w:pStyle w:val="Funotentext"/>
      </w:pPr>
      <w:r>
        <w:rPr>
          <w:rStyle w:val="Funotenzeichen"/>
        </w:rPr>
        <w:footnoteRef/>
      </w:r>
      <w:r>
        <w:t xml:space="preserve"> Vgl. ebd., S. 33f.</w:t>
      </w:r>
    </w:p>
  </w:footnote>
  <w:footnote w:id="6">
    <w:p w:rsidR="00D457A9" w:rsidRPr="005532A3" w:rsidRDefault="00D457A9" w:rsidP="00D457A9">
      <w:pPr>
        <w:autoSpaceDE w:val="0"/>
        <w:autoSpaceDN w:val="0"/>
        <w:adjustRightInd w:val="0"/>
        <w:spacing w:after="0" w:line="240" w:lineRule="auto"/>
        <w:rPr>
          <w:rFonts w:cs="Times New Roman"/>
          <w:sz w:val="20"/>
        </w:rPr>
      </w:pPr>
      <w:r w:rsidRPr="005532A3">
        <w:rPr>
          <w:rStyle w:val="Funotenzeichen"/>
          <w:sz w:val="20"/>
        </w:rPr>
        <w:footnoteRef/>
      </w:r>
      <w:r w:rsidRPr="005532A3">
        <w:rPr>
          <w:sz w:val="20"/>
        </w:rPr>
        <w:t xml:space="preserve"> Vgl. </w:t>
      </w:r>
      <w:r w:rsidRPr="005532A3">
        <w:rPr>
          <w:rFonts w:cs="Times New Roman"/>
          <w:smallCaps/>
          <w:sz w:val="20"/>
        </w:rPr>
        <w:t>Gläser, Jochen &amp; Laudel, Grit</w:t>
      </w:r>
      <w:r w:rsidRPr="005532A3">
        <w:rPr>
          <w:rFonts w:cs="Times New Roman"/>
          <w:sz w:val="20"/>
        </w:rPr>
        <w:t xml:space="preserve">: Experteninterviews und qualitative Inhaltsanalyse als Instrumente rekonstruierender Untersuchungen, Wiesbaden </w:t>
      </w:r>
      <w:r w:rsidRPr="005532A3">
        <w:rPr>
          <w:rFonts w:cs="Times New Roman"/>
          <w:sz w:val="20"/>
          <w:vertAlign w:val="superscript"/>
        </w:rPr>
        <w:t>4</w:t>
      </w:r>
      <w:r w:rsidRPr="005532A3">
        <w:rPr>
          <w:rFonts w:cs="Times New Roman"/>
          <w:sz w:val="20"/>
        </w:rPr>
        <w:t>2010</w:t>
      </w:r>
      <w:r>
        <w:rPr>
          <w:rFonts w:cs="Times New Roman"/>
          <w:sz w:val="20"/>
        </w:rPr>
        <w:t xml:space="preserve">, S. 28. </w:t>
      </w:r>
    </w:p>
  </w:footnote>
  <w:footnote w:id="7">
    <w:p w:rsidR="00D457A9" w:rsidRDefault="00D457A9" w:rsidP="00D457A9">
      <w:pPr>
        <w:pStyle w:val="Funotentext"/>
      </w:pPr>
      <w:r>
        <w:rPr>
          <w:rStyle w:val="Funotenzeichen"/>
        </w:rPr>
        <w:footnoteRef/>
      </w:r>
      <w:r>
        <w:t xml:space="preserve"> Vgl. </w:t>
      </w:r>
      <w:r w:rsidRPr="005532A3">
        <w:rPr>
          <w:smallCaps/>
        </w:rPr>
        <w:t xml:space="preserve">Atteslander </w:t>
      </w:r>
      <w:r>
        <w:t xml:space="preserve">(2010), S. 77ff. </w:t>
      </w:r>
    </w:p>
  </w:footnote>
  <w:footnote w:id="8">
    <w:p w:rsidR="00D457A9" w:rsidRDefault="00D457A9" w:rsidP="00D457A9">
      <w:pPr>
        <w:pStyle w:val="Funotentext"/>
      </w:pPr>
      <w:r>
        <w:rPr>
          <w:rStyle w:val="Funotenzeichen"/>
        </w:rPr>
        <w:footnoteRef/>
      </w:r>
      <w:r>
        <w:t xml:space="preserve"> Vgl. ebd., S. 109ff. </w:t>
      </w:r>
    </w:p>
  </w:footnote>
  <w:footnote w:id="9">
    <w:p w:rsidR="00D457A9" w:rsidRPr="0055178D" w:rsidRDefault="00D457A9" w:rsidP="00D457A9">
      <w:pPr>
        <w:autoSpaceDE w:val="0"/>
        <w:autoSpaceDN w:val="0"/>
        <w:adjustRightInd w:val="0"/>
        <w:spacing w:after="0" w:line="240" w:lineRule="auto"/>
        <w:rPr>
          <w:rFonts w:cs="Times New Roman"/>
          <w:sz w:val="20"/>
        </w:rPr>
      </w:pPr>
      <w:r w:rsidRPr="0055178D">
        <w:rPr>
          <w:rStyle w:val="Funotenzeichen"/>
          <w:sz w:val="20"/>
        </w:rPr>
        <w:footnoteRef/>
      </w:r>
      <w:r w:rsidRPr="0055178D">
        <w:rPr>
          <w:sz w:val="20"/>
        </w:rPr>
        <w:t xml:space="preserve"> </w:t>
      </w:r>
      <w:r w:rsidRPr="0055178D">
        <w:rPr>
          <w:rFonts w:cs="Times New Roman"/>
          <w:smallCaps/>
          <w:sz w:val="20"/>
        </w:rPr>
        <w:t>Früh, Werner:</w:t>
      </w:r>
      <w:r w:rsidRPr="0055178D">
        <w:rPr>
          <w:rFonts w:cs="Times New Roman"/>
          <w:sz w:val="20"/>
        </w:rPr>
        <w:t xml:space="preserve"> Inhaltsanalyse. Theorie und Praxis (UTB 2501), Konstanz &amp; München </w:t>
      </w:r>
      <w:r w:rsidRPr="0055178D">
        <w:rPr>
          <w:rFonts w:cs="Times New Roman"/>
          <w:sz w:val="20"/>
          <w:vertAlign w:val="superscript"/>
        </w:rPr>
        <w:t>8</w:t>
      </w:r>
      <w:r>
        <w:rPr>
          <w:rFonts w:cs="Times New Roman"/>
          <w:sz w:val="20"/>
        </w:rPr>
        <w:t xml:space="preserve">2015, S. 29. </w:t>
      </w:r>
    </w:p>
    <w:p w:rsidR="00D457A9" w:rsidRDefault="00D457A9" w:rsidP="00D457A9">
      <w:pPr>
        <w:pStyle w:val="Funotentext"/>
      </w:pPr>
    </w:p>
  </w:footnote>
  <w:footnote w:id="10">
    <w:p w:rsidR="00D457A9" w:rsidRDefault="00D457A9" w:rsidP="00D457A9">
      <w:pPr>
        <w:pStyle w:val="Funotentext"/>
      </w:pPr>
      <w:r>
        <w:rPr>
          <w:rStyle w:val="Funotenzeichen"/>
        </w:rPr>
        <w:footnoteRef/>
      </w:r>
      <w:r>
        <w:t xml:space="preserve"> Vgl. </w:t>
      </w:r>
      <w:r w:rsidRPr="00321446">
        <w:rPr>
          <w:smallCaps/>
        </w:rPr>
        <w:t>Lamnek</w:t>
      </w:r>
      <w:r>
        <w:rPr>
          <w:smallCaps/>
        </w:rPr>
        <w:t xml:space="preserve"> &amp; Krell</w:t>
      </w:r>
      <w:r>
        <w:t xml:space="preserve"> (2016), S. 349. </w:t>
      </w:r>
    </w:p>
  </w:footnote>
  <w:footnote w:id="11">
    <w:p w:rsidR="00D457A9" w:rsidRPr="00321446" w:rsidRDefault="00D457A9" w:rsidP="00D457A9">
      <w:pPr>
        <w:autoSpaceDE w:val="0"/>
        <w:autoSpaceDN w:val="0"/>
        <w:adjustRightInd w:val="0"/>
        <w:spacing w:after="0" w:line="240" w:lineRule="auto"/>
        <w:rPr>
          <w:rFonts w:cs="Times New Roman"/>
        </w:rPr>
      </w:pPr>
      <w:r w:rsidRPr="00321446">
        <w:rPr>
          <w:rStyle w:val="Funotenzeichen"/>
          <w:sz w:val="20"/>
        </w:rPr>
        <w:footnoteRef/>
      </w:r>
      <w:r w:rsidRPr="00321446">
        <w:rPr>
          <w:sz w:val="20"/>
        </w:rPr>
        <w:t xml:space="preserve"> Vgl. </w:t>
      </w:r>
      <w:r w:rsidRPr="00321446">
        <w:rPr>
          <w:rFonts w:cs="Times New Roman"/>
          <w:smallCaps/>
          <w:sz w:val="20"/>
        </w:rPr>
        <w:t>Mayring, Philipp:</w:t>
      </w:r>
      <w:r w:rsidRPr="00321446">
        <w:rPr>
          <w:rFonts w:cs="Times New Roman"/>
          <w:sz w:val="20"/>
        </w:rPr>
        <w:t xml:space="preserve"> Einführung in die qualitative Sozialforschung. Eine Anleitung zu qualitativem Denken, Weinheim und Basel </w:t>
      </w:r>
      <w:r w:rsidRPr="00321446">
        <w:rPr>
          <w:rFonts w:cs="Times New Roman"/>
          <w:sz w:val="20"/>
          <w:vertAlign w:val="superscript"/>
        </w:rPr>
        <w:t>6</w:t>
      </w:r>
      <w:r>
        <w:rPr>
          <w:rFonts w:cs="Times New Roman"/>
          <w:sz w:val="20"/>
        </w:rPr>
        <w:t xml:space="preserve">2016, S. 70. </w:t>
      </w:r>
    </w:p>
  </w:footnote>
  <w:footnote w:id="12">
    <w:p w:rsidR="00D457A9" w:rsidRDefault="00D457A9" w:rsidP="00D457A9">
      <w:pPr>
        <w:pStyle w:val="Funotentext"/>
      </w:pPr>
      <w:r>
        <w:rPr>
          <w:rStyle w:val="Funotenzeichen"/>
        </w:rPr>
        <w:footnoteRef/>
      </w:r>
      <w:r>
        <w:t xml:space="preserve"> Aufgrund des gewünschten großen Vorwissens der Interviewten ließe sich auch von einem Experteninterview sprechen </w:t>
      </w:r>
      <w:r w:rsidRPr="00321446">
        <w:t xml:space="preserve">(vgl. </w:t>
      </w:r>
      <w:r w:rsidRPr="00321446">
        <w:rPr>
          <w:smallCaps/>
        </w:rPr>
        <w:t>Gläser &amp; Laudel</w:t>
      </w:r>
      <w:r w:rsidRPr="00321446">
        <w:t xml:space="preserve"> (2010), S. 11ff.).</w:t>
      </w:r>
      <w:r>
        <w:t xml:space="preserve"> Die Terminologie fokussiertes Interview genügt jedoch den Anforderungen an das Forschungssetting der hiesigen Arbeit. </w:t>
      </w:r>
    </w:p>
  </w:footnote>
  <w:footnote w:id="13">
    <w:p w:rsidR="00D457A9" w:rsidRDefault="00D457A9" w:rsidP="00D457A9">
      <w:pPr>
        <w:pStyle w:val="Funotentext"/>
      </w:pPr>
      <w:r>
        <w:rPr>
          <w:rStyle w:val="Funotenzeichen"/>
        </w:rPr>
        <w:footnoteRef/>
      </w:r>
      <w:r>
        <w:t xml:space="preserve"> Vgl. </w:t>
      </w:r>
      <w:r w:rsidRPr="005874D1">
        <w:rPr>
          <w:smallCaps/>
        </w:rPr>
        <w:t xml:space="preserve">Diekmann </w:t>
      </w:r>
      <w:r>
        <w:t>(2009), S. 466.</w:t>
      </w:r>
    </w:p>
  </w:footnote>
  <w:footnote w:id="14">
    <w:p w:rsidR="00D457A9" w:rsidRDefault="00D457A9" w:rsidP="00D457A9">
      <w:pPr>
        <w:pStyle w:val="Funotentext"/>
      </w:pPr>
      <w:r>
        <w:rPr>
          <w:rStyle w:val="Funotenzeichen"/>
        </w:rPr>
        <w:footnoteRef/>
      </w:r>
      <w:r>
        <w:t xml:space="preserve"> Vgl. ebd., S. 439. </w:t>
      </w:r>
    </w:p>
  </w:footnote>
  <w:footnote w:id="15">
    <w:p w:rsidR="00D457A9" w:rsidRDefault="00D457A9" w:rsidP="00D457A9">
      <w:pPr>
        <w:pStyle w:val="Funotentext"/>
      </w:pPr>
      <w:r>
        <w:rPr>
          <w:rStyle w:val="Funotenzeichen"/>
        </w:rPr>
        <w:footnoteRef/>
      </w:r>
      <w:r>
        <w:t xml:space="preserve"> Vgl. </w:t>
      </w:r>
      <w:r w:rsidRPr="00792580">
        <w:rPr>
          <w:smallCaps/>
        </w:rPr>
        <w:t>Lamnek &amp; Krell</w:t>
      </w:r>
      <w:r>
        <w:t xml:space="preserve"> (2016), S. 350. </w:t>
      </w:r>
    </w:p>
  </w:footnote>
  <w:footnote w:id="16">
    <w:p w:rsidR="00D457A9" w:rsidRDefault="00D457A9" w:rsidP="00D457A9">
      <w:pPr>
        <w:pStyle w:val="Funotentext"/>
      </w:pPr>
      <w:r>
        <w:rPr>
          <w:rStyle w:val="Funotenzeichen"/>
        </w:rPr>
        <w:footnoteRef/>
      </w:r>
      <w:r>
        <w:t xml:space="preserve"> Vgl. ebd., S. 349. </w:t>
      </w:r>
    </w:p>
  </w:footnote>
  <w:footnote w:id="17">
    <w:p w:rsidR="00D457A9" w:rsidRDefault="00D457A9" w:rsidP="00D457A9">
      <w:pPr>
        <w:pStyle w:val="Funotentext"/>
      </w:pPr>
      <w:r>
        <w:rPr>
          <w:rStyle w:val="Funotenzeichen"/>
        </w:rPr>
        <w:footnoteRef/>
      </w:r>
      <w:r>
        <w:t xml:space="preserve"> Vgl. </w:t>
      </w:r>
      <w:r w:rsidRPr="00792580">
        <w:rPr>
          <w:smallCaps/>
        </w:rPr>
        <w:t>Gläser &amp; Laudel</w:t>
      </w:r>
      <w:r>
        <w:t xml:space="preserve"> (2010), S. 144. </w:t>
      </w:r>
    </w:p>
  </w:footnote>
  <w:footnote w:id="18">
    <w:p w:rsidR="00D457A9" w:rsidRDefault="00D457A9" w:rsidP="00D457A9">
      <w:pPr>
        <w:pStyle w:val="Funotentext"/>
      </w:pPr>
      <w:r>
        <w:rPr>
          <w:rStyle w:val="Funotenzeichen"/>
        </w:rPr>
        <w:footnoteRef/>
      </w:r>
      <w:r>
        <w:t xml:space="preserve"> Vgl. ebd., S. 145.</w:t>
      </w:r>
    </w:p>
  </w:footnote>
  <w:footnote w:id="19">
    <w:p w:rsidR="00D457A9" w:rsidRDefault="00D457A9" w:rsidP="00D457A9">
      <w:pPr>
        <w:pStyle w:val="Funotentext"/>
      </w:pPr>
      <w:r>
        <w:rPr>
          <w:rStyle w:val="Funotenzeichen"/>
        </w:rPr>
        <w:footnoteRef/>
      </w:r>
      <w:r>
        <w:t xml:space="preserve"> Vgl. ebd., S. 150f. </w:t>
      </w:r>
    </w:p>
  </w:footnote>
  <w:footnote w:id="20">
    <w:p w:rsidR="00D457A9" w:rsidRPr="009E67FA" w:rsidRDefault="00D457A9" w:rsidP="00D457A9">
      <w:pPr>
        <w:autoSpaceDE w:val="0"/>
        <w:autoSpaceDN w:val="0"/>
        <w:adjustRightInd w:val="0"/>
        <w:spacing w:after="0" w:line="240" w:lineRule="auto"/>
        <w:rPr>
          <w:rFonts w:cs="Times New Roman"/>
          <w:sz w:val="20"/>
        </w:rPr>
      </w:pPr>
      <w:r w:rsidRPr="009E67FA">
        <w:rPr>
          <w:rStyle w:val="Funotenzeichen"/>
          <w:sz w:val="20"/>
        </w:rPr>
        <w:footnoteRef/>
      </w:r>
      <w:r w:rsidRPr="009E67FA">
        <w:rPr>
          <w:sz w:val="20"/>
        </w:rPr>
        <w:t xml:space="preserve"> </w:t>
      </w:r>
      <w:r>
        <w:rPr>
          <w:sz w:val="20"/>
        </w:rPr>
        <w:t xml:space="preserve">Vgl. </w:t>
      </w:r>
      <w:r w:rsidRPr="009E67FA">
        <w:rPr>
          <w:rFonts w:cs="Times New Roman"/>
          <w:smallCaps/>
          <w:sz w:val="20"/>
        </w:rPr>
        <w:t xml:space="preserve">Fuß, Susanne &amp; </w:t>
      </w:r>
      <w:proofErr w:type="spellStart"/>
      <w:r w:rsidRPr="009E67FA">
        <w:rPr>
          <w:rFonts w:cs="Times New Roman"/>
          <w:smallCaps/>
          <w:sz w:val="20"/>
        </w:rPr>
        <w:t>Karbach</w:t>
      </w:r>
      <w:proofErr w:type="spellEnd"/>
      <w:r w:rsidRPr="009E67FA">
        <w:rPr>
          <w:rFonts w:cs="Times New Roman"/>
          <w:smallCaps/>
          <w:sz w:val="20"/>
        </w:rPr>
        <w:t>, Ute</w:t>
      </w:r>
      <w:r w:rsidRPr="009E67FA">
        <w:rPr>
          <w:rFonts w:cs="Times New Roman"/>
          <w:sz w:val="20"/>
        </w:rPr>
        <w:t xml:space="preserve">: Grundlagen der Transkription. Eine praktische Einführung (UTB </w:t>
      </w:r>
      <w:r>
        <w:rPr>
          <w:rFonts w:cs="Times New Roman"/>
          <w:sz w:val="20"/>
        </w:rPr>
        <w:t xml:space="preserve">4185), Opladen &amp; Toronto 2014, S. 61. </w:t>
      </w:r>
    </w:p>
  </w:footnote>
  <w:footnote w:id="21">
    <w:p w:rsidR="00D457A9" w:rsidRDefault="00D457A9" w:rsidP="00D457A9">
      <w:pPr>
        <w:pStyle w:val="Funotentext"/>
      </w:pPr>
      <w:r>
        <w:rPr>
          <w:rStyle w:val="Funotenzeichen"/>
        </w:rPr>
        <w:footnoteRef/>
      </w:r>
      <w:r>
        <w:t xml:space="preserve"> Vgl. ebd., S. 40f. </w:t>
      </w:r>
    </w:p>
  </w:footnote>
  <w:footnote w:id="22">
    <w:p w:rsidR="00D457A9" w:rsidRDefault="00D457A9" w:rsidP="00D457A9">
      <w:pPr>
        <w:pStyle w:val="Funotentext"/>
      </w:pPr>
      <w:r>
        <w:rPr>
          <w:rStyle w:val="Funotenzeichen"/>
        </w:rPr>
        <w:footnoteRef/>
      </w:r>
      <w:r>
        <w:t xml:space="preserve"> In Anlehnung an </w:t>
      </w:r>
      <w:r w:rsidRPr="002A2885">
        <w:rPr>
          <w:smallCaps/>
        </w:rPr>
        <w:t xml:space="preserve">Mayring </w:t>
      </w:r>
      <w:r>
        <w:t>(2016), S. 114.</w:t>
      </w:r>
    </w:p>
  </w:footnote>
  <w:footnote w:id="23">
    <w:p w:rsidR="00D457A9" w:rsidRDefault="00D457A9" w:rsidP="00D457A9">
      <w:pPr>
        <w:pStyle w:val="Funotentext"/>
      </w:pPr>
      <w:r>
        <w:rPr>
          <w:rStyle w:val="Funotenzeichen"/>
        </w:rPr>
        <w:footnoteRef/>
      </w:r>
      <w:r>
        <w:t xml:space="preserve"> Vgl. </w:t>
      </w:r>
      <w:r w:rsidRPr="002A2885">
        <w:rPr>
          <w:smallCaps/>
        </w:rPr>
        <w:t>Gläser &amp; Laudel</w:t>
      </w:r>
      <w:r>
        <w:t xml:space="preserve"> (2010), S. 47.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C0352"/>
    <w:multiLevelType w:val="hybridMultilevel"/>
    <w:tmpl w:val="377E60E8"/>
    <w:lvl w:ilvl="0" w:tplc="04070019">
      <w:start w:val="1"/>
      <w:numFmt w:val="lowerLetter"/>
      <w:lvlText w:val="%1."/>
      <w:lvlJc w:val="left"/>
      <w:pPr>
        <w:ind w:left="1440" w:hanging="360"/>
      </w:pPr>
    </w:lvl>
    <w:lvl w:ilvl="1" w:tplc="04070019">
      <w:start w:val="1"/>
      <w:numFmt w:val="lowerLetter"/>
      <w:lvlText w:val="%2."/>
      <w:lvlJc w:val="left"/>
      <w:pPr>
        <w:ind w:left="2160" w:hanging="360"/>
      </w:pPr>
    </w:lvl>
    <w:lvl w:ilvl="2" w:tplc="0407001B">
      <w:start w:val="1"/>
      <w:numFmt w:val="lowerRoman"/>
      <w:lvlText w:val="%3."/>
      <w:lvlJc w:val="right"/>
      <w:pPr>
        <w:ind w:left="2880" w:hanging="180"/>
      </w:pPr>
    </w:lvl>
    <w:lvl w:ilvl="3" w:tplc="0407000F">
      <w:start w:val="1"/>
      <w:numFmt w:val="decimal"/>
      <w:lvlText w:val="%4."/>
      <w:lvlJc w:val="left"/>
      <w:pPr>
        <w:ind w:left="3600" w:hanging="360"/>
      </w:pPr>
    </w:lvl>
    <w:lvl w:ilvl="4" w:tplc="04070019">
      <w:start w:val="1"/>
      <w:numFmt w:val="lowerLetter"/>
      <w:lvlText w:val="%5."/>
      <w:lvlJc w:val="left"/>
      <w:pPr>
        <w:ind w:left="4320" w:hanging="360"/>
      </w:pPr>
    </w:lvl>
    <w:lvl w:ilvl="5" w:tplc="0407001B">
      <w:start w:val="1"/>
      <w:numFmt w:val="lowerRoman"/>
      <w:lvlText w:val="%6."/>
      <w:lvlJc w:val="right"/>
      <w:pPr>
        <w:ind w:left="5040" w:hanging="180"/>
      </w:pPr>
    </w:lvl>
    <w:lvl w:ilvl="6" w:tplc="0407000F">
      <w:start w:val="1"/>
      <w:numFmt w:val="decimal"/>
      <w:lvlText w:val="%7."/>
      <w:lvlJc w:val="left"/>
      <w:pPr>
        <w:ind w:left="5760" w:hanging="360"/>
      </w:pPr>
    </w:lvl>
    <w:lvl w:ilvl="7" w:tplc="04070019">
      <w:start w:val="1"/>
      <w:numFmt w:val="lowerLetter"/>
      <w:lvlText w:val="%8."/>
      <w:lvlJc w:val="left"/>
      <w:pPr>
        <w:ind w:left="6480" w:hanging="360"/>
      </w:pPr>
    </w:lvl>
    <w:lvl w:ilvl="8" w:tplc="0407001B">
      <w:start w:val="1"/>
      <w:numFmt w:val="lowerRoman"/>
      <w:lvlText w:val="%9."/>
      <w:lvlJc w:val="right"/>
      <w:pPr>
        <w:ind w:left="7200" w:hanging="180"/>
      </w:pPr>
    </w:lvl>
  </w:abstractNum>
  <w:abstractNum w:abstractNumId="1" w15:restartNumberingAfterBreak="0">
    <w:nsid w:val="6106009F"/>
    <w:multiLevelType w:val="hybridMultilevel"/>
    <w:tmpl w:val="1444B3CC"/>
    <w:lvl w:ilvl="0" w:tplc="7CC2B6BC">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7A9"/>
    <w:rsid w:val="00127D7D"/>
    <w:rsid w:val="001F0863"/>
    <w:rsid w:val="003D33C9"/>
    <w:rsid w:val="0071565D"/>
    <w:rsid w:val="00747279"/>
    <w:rsid w:val="00B94B9F"/>
    <w:rsid w:val="00D457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28CD6"/>
  <w15:chartTrackingRefBased/>
  <w15:docId w15:val="{7156CC36-D6BA-4971-95E5-B6E6DF8E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D457A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457A9"/>
    <w:rPr>
      <w:sz w:val="20"/>
      <w:szCs w:val="20"/>
    </w:rPr>
  </w:style>
  <w:style w:type="character" w:styleId="Funotenzeichen">
    <w:name w:val="footnote reference"/>
    <w:basedOn w:val="Absatz-Standardschriftart"/>
    <w:uiPriority w:val="99"/>
    <w:semiHidden/>
    <w:unhideWhenUsed/>
    <w:rsid w:val="00D45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2151</Words>
  <Characters>13556</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Gugu</dc:creator>
  <cp:keywords/>
  <dc:description/>
  <cp:lastModifiedBy>Chris Gugu</cp:lastModifiedBy>
  <cp:revision>2</cp:revision>
  <dcterms:created xsi:type="dcterms:W3CDTF">2018-10-06T08:33:00Z</dcterms:created>
  <dcterms:modified xsi:type="dcterms:W3CDTF">2018-10-06T08:58:00Z</dcterms:modified>
</cp:coreProperties>
</file>